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1FDC6" w14:textId="5BA7792C" w:rsidR="00DB38FD" w:rsidRDefault="00DB38FD" w:rsidP="00E43386"/>
    <w:p w14:paraId="0857D543" w14:textId="5D968268" w:rsidR="00A12541" w:rsidRDefault="00A12541">
      <w:pPr>
        <w:spacing w:after="110"/>
      </w:pPr>
      <w:r w:rsidRPr="00BB13A3">
        <w:rPr>
          <w:rFonts w:ascii="Arial" w:hAnsi="Arial" w:cs="Arial"/>
          <w:noProof/>
          <w:color w:val="026AFF"/>
          <w:sz w:val="44"/>
          <w:szCs w:val="44"/>
        </w:rPr>
        <mc:AlternateContent>
          <mc:Choice Requires="wps">
            <w:drawing>
              <wp:anchor distT="45720" distB="45720" distL="114300" distR="114300" simplePos="0" relativeHeight="251662336" behindDoc="0" locked="0" layoutInCell="1" allowOverlap="1" wp14:anchorId="4C39B3D8" wp14:editId="7215CA10">
                <wp:simplePos x="0" y="0"/>
                <wp:positionH relativeFrom="margin">
                  <wp:align>left</wp:align>
                </wp:positionH>
                <wp:positionV relativeFrom="paragraph">
                  <wp:posOffset>4233</wp:posOffset>
                </wp:positionV>
                <wp:extent cx="7049135" cy="323850"/>
                <wp:effectExtent l="0" t="0" r="0" b="0"/>
                <wp:wrapNone/>
                <wp:docPr id="505842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9135" cy="323850"/>
                        </a:xfrm>
                        <a:prstGeom prst="roundRect">
                          <a:avLst/>
                        </a:prstGeom>
                        <a:solidFill>
                          <a:srgbClr val="026AFF"/>
                        </a:solidFill>
                        <a:ln w="9525">
                          <a:noFill/>
                          <a:miter lim="800000"/>
                          <a:headEnd/>
                          <a:tailEnd/>
                        </a:ln>
                      </wps:spPr>
                      <wps:txbx>
                        <w:txbxContent>
                          <w:p w14:paraId="4D178ABE" w14:textId="77777777" w:rsidR="000F43CF" w:rsidRDefault="000F43CF" w:rsidP="000F43CF">
                            <w:pPr>
                              <w:jc w:val="center"/>
                            </w:pPr>
                            <w:r>
                              <w:rPr>
                                <w:rFonts w:ascii="Arial" w:eastAsia="Arial" w:hAnsi="Arial" w:cs="Arial"/>
                                <w:b/>
                                <w:bCs/>
                                <w:color w:val="FFFFFF"/>
                                <w:sz w:val="27"/>
                                <w:szCs w:val="27"/>
                              </w:rPr>
                              <w:t>2026 MLI Select Affordability Rent Increase Reference</w:t>
                            </w:r>
                          </w:p>
                          <w:p w14:paraId="7DBBDAAC" w14:textId="77777777" w:rsidR="000F43CF" w:rsidRPr="007F0D96" w:rsidRDefault="000F43CF" w:rsidP="000F43CF">
                            <w:pPr>
                              <w:ind w:left="630" w:right="914"/>
                              <w:jc w:val="center"/>
                              <w:rPr>
                                <w:rFonts w:ascii="Arial" w:hAnsi="Arial" w:cs="Arial"/>
                                <w:b/>
                                <w:bCs/>
                                <w:color w:val="FFFFFF" w:themeColor="background1"/>
                                <w:sz w:val="32"/>
                                <w:szCs w:val="3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C39B3D8" id="_x0000_s1029" style="position:absolute;margin-left:0;margin-top:.35pt;width:555.05pt;height:25.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" fillcolor="#026aff" stroked="f">
                <v:stroke joinstyle="miter"/>
                <v:textbox>
                  <w:txbxContent>
                    <w:p w14:paraId="4D178ABE" w14:textId="77777777" w:rsidR="000F43CF" w:rsidRDefault="000F43CF" w:rsidP="000F43CF">
                      <w:pPr>
                        <w:jc w:val="center"/>
                      </w:pPr>
                      <w:r>
                        <w:rPr>
                          <w:rFonts w:ascii="Arial" w:eastAsia="Arial" w:hAnsi="Arial" w:cs="Arial"/>
                          <w:b/>
                          <w:bCs/>
                          <w:color w:val="FFFFFF"/>
                          <w:sz w:val="27"/>
                          <w:szCs w:val="27"/>
                        </w:rPr>
                        <w:t>2026 MLI Select Affordability Rent Increase Reference</w:t>
                      </w:r>
                    </w:p>
                    <w:p w14:paraId="7DBBDAAC" w14:textId="77777777" w:rsidR="000F43CF" w:rsidRPr="007F0D96" w:rsidRDefault="000F43CF" w:rsidP="000F43CF">
                      <w:pPr>
                        <w:ind w:left="630" w:right="914"/>
                        <w:jc w:val="center"/>
                        <w:rPr>
                          <w:rFonts w:ascii="Arial" w:hAnsi="Arial" w:cs="Arial"/>
                          <w:b/>
                          <w:bCs/>
                          <w:color w:val="FFFFFF" w:themeColor="background1"/>
                          <w:sz w:val="32"/>
                          <w:szCs w:val="32"/>
                        </w:rPr>
                      </w:pPr>
                    </w:p>
                  </w:txbxContent>
                </v:textbox>
                <w10:wrap anchorx="margin"/>
              </v:roundrect>
            </w:pict>
          </mc:Fallback>
        </mc:AlternateContent>
      </w:r>
    </w:p>
    <w:p w14:paraId="310DAEFF" w14:textId="218099BC" w:rsidR="00DB38FD" w:rsidRDefault="00DB38FD" w:rsidP="00A12541">
      <w:pPr>
        <w:spacing w:after="240"/>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24"/>
        <w:gridCol w:w="2014"/>
        <w:gridCol w:w="1777"/>
        <w:gridCol w:w="1777"/>
        <w:gridCol w:w="2796"/>
      </w:tblGrid>
      <w:tr w:rsidR="00DB38FD" w14:paraId="62DAF4F8" w14:textId="77777777" w:rsidTr="000F43CF">
        <w:trPr>
          <w:tblHeader/>
        </w:trPr>
        <w:tc>
          <w:tcPr>
            <w:tcW w:w="2300" w:type="dxa"/>
            <w:tcBorders>
              <w:top w:val="single" w:sz="4" w:space="0" w:color="C9C9C9"/>
              <w:left w:val="single" w:sz="4" w:space="0" w:color="C9C9C9"/>
              <w:bottom w:val="single" w:sz="4" w:space="0" w:color="C9C9C9"/>
              <w:right w:val="single" w:sz="4" w:space="0" w:color="C9C9C9"/>
            </w:tcBorders>
            <w:shd w:val="clear" w:color="auto" w:fill="D4DEE4"/>
            <w:tcMar>
              <w:top w:w="30" w:type="dxa"/>
              <w:left w:w="160" w:type="dxa"/>
              <w:bottom w:w="30" w:type="dxa"/>
              <w:right w:w="160" w:type="dxa"/>
            </w:tcMar>
            <w:vAlign w:val="center"/>
          </w:tcPr>
          <w:p w14:paraId="74FF3803" w14:textId="77777777" w:rsidR="00DB38FD" w:rsidRPr="000F43CF" w:rsidRDefault="00DB29A2" w:rsidP="000F43CF">
            <w:pPr>
              <w:rPr>
                <w:color w:val="000000" w:themeColor="text1"/>
              </w:rPr>
            </w:pPr>
            <w:r w:rsidRPr="000F43CF">
              <w:rPr>
                <w:rFonts w:ascii="Arial" w:eastAsia="Arial" w:hAnsi="Arial" w:cs="Arial"/>
                <w:b/>
                <w:bCs/>
                <w:color w:val="000000" w:themeColor="text1"/>
                <w:sz w:val="15"/>
                <w:szCs w:val="15"/>
              </w:rPr>
              <w:t>Province / Territory</w:t>
            </w:r>
          </w:p>
        </w:tc>
        <w:tc>
          <w:tcPr>
            <w:tcW w:w="1700" w:type="dxa"/>
            <w:tcBorders>
              <w:top w:val="single" w:sz="4" w:space="0" w:color="C9C9C9"/>
              <w:left w:val="single" w:sz="4" w:space="0" w:color="C9C9C9"/>
              <w:bottom w:val="single" w:sz="4" w:space="0" w:color="C9C9C9"/>
              <w:right w:val="single" w:sz="4" w:space="0" w:color="C9C9C9"/>
            </w:tcBorders>
            <w:shd w:val="clear" w:color="auto" w:fill="D4DEE4"/>
            <w:tcMar>
              <w:top w:w="30" w:type="dxa"/>
              <w:left w:w="160" w:type="dxa"/>
              <w:bottom w:w="30" w:type="dxa"/>
              <w:right w:w="160" w:type="dxa"/>
            </w:tcMar>
            <w:vAlign w:val="center"/>
          </w:tcPr>
          <w:p w14:paraId="7E14C0F3" w14:textId="77777777" w:rsidR="00DB38FD" w:rsidRPr="000F43CF" w:rsidRDefault="00DB29A2" w:rsidP="008E30E5">
            <w:pPr>
              <w:jc w:val="center"/>
              <w:rPr>
                <w:color w:val="000000" w:themeColor="text1"/>
              </w:rPr>
            </w:pPr>
            <w:r w:rsidRPr="000F43CF">
              <w:rPr>
                <w:rFonts w:ascii="Arial" w:eastAsia="Arial" w:hAnsi="Arial" w:cs="Arial"/>
                <w:b/>
                <w:bCs/>
                <w:color w:val="000000" w:themeColor="text1"/>
                <w:sz w:val="15"/>
                <w:szCs w:val="15"/>
              </w:rPr>
              <w:t>Provincial / Territorial Rate (2026)</w:t>
            </w:r>
          </w:p>
        </w:tc>
        <w:tc>
          <w:tcPr>
            <w:tcW w:w="1500" w:type="dxa"/>
            <w:tcBorders>
              <w:top w:val="single" w:sz="4" w:space="0" w:color="C9C9C9"/>
              <w:left w:val="single" w:sz="4" w:space="0" w:color="C9C9C9"/>
              <w:bottom w:val="single" w:sz="4" w:space="0" w:color="C9C9C9"/>
              <w:right w:val="single" w:sz="4" w:space="0" w:color="C9C9C9"/>
            </w:tcBorders>
            <w:shd w:val="clear" w:color="auto" w:fill="D4DEE4"/>
            <w:tcMar>
              <w:top w:w="30" w:type="dxa"/>
              <w:left w:w="160" w:type="dxa"/>
              <w:bottom w:w="30" w:type="dxa"/>
              <w:right w:w="160" w:type="dxa"/>
            </w:tcMar>
            <w:vAlign w:val="center"/>
          </w:tcPr>
          <w:p w14:paraId="7D3B1FD6" w14:textId="77777777" w:rsidR="00DB38FD" w:rsidRPr="000F43CF" w:rsidRDefault="00DB29A2" w:rsidP="008E30E5">
            <w:pPr>
              <w:jc w:val="center"/>
              <w:rPr>
                <w:color w:val="000000" w:themeColor="text1"/>
              </w:rPr>
            </w:pPr>
            <w:r w:rsidRPr="000F43CF">
              <w:rPr>
                <w:rFonts w:ascii="Arial" w:eastAsia="Arial" w:hAnsi="Arial" w:cs="Arial"/>
                <w:b/>
                <w:bCs/>
                <w:color w:val="000000" w:themeColor="text1"/>
                <w:sz w:val="15"/>
                <w:szCs w:val="15"/>
              </w:rPr>
              <w:t>CMHC Permitted CPI (2026)</w:t>
            </w:r>
          </w:p>
        </w:tc>
        <w:tc>
          <w:tcPr>
            <w:tcW w:w="1500" w:type="dxa"/>
            <w:tcBorders>
              <w:top w:val="single" w:sz="4" w:space="0" w:color="C9C9C9"/>
              <w:left w:val="single" w:sz="4" w:space="0" w:color="C9C9C9"/>
              <w:bottom w:val="single" w:sz="4" w:space="0" w:color="C9C9C9"/>
              <w:right w:val="single" w:sz="4" w:space="0" w:color="C9C9C9"/>
            </w:tcBorders>
            <w:shd w:val="clear" w:color="auto" w:fill="D4DEE4"/>
            <w:tcMar>
              <w:top w:w="30" w:type="dxa"/>
              <w:left w:w="160" w:type="dxa"/>
              <w:bottom w:w="30" w:type="dxa"/>
              <w:right w:w="160" w:type="dxa"/>
            </w:tcMar>
            <w:vAlign w:val="center"/>
          </w:tcPr>
          <w:p w14:paraId="604154CB" w14:textId="77777777" w:rsidR="00DB38FD" w:rsidRPr="000F43CF" w:rsidRDefault="00DB29A2" w:rsidP="008E30E5">
            <w:pPr>
              <w:jc w:val="center"/>
              <w:rPr>
                <w:color w:val="000000" w:themeColor="text1"/>
              </w:rPr>
            </w:pPr>
            <w:r w:rsidRPr="000F43CF">
              <w:rPr>
                <w:rFonts w:ascii="Arial" w:eastAsia="Arial" w:hAnsi="Arial" w:cs="Arial"/>
                <w:b/>
                <w:bCs/>
                <w:color w:val="000000" w:themeColor="text1"/>
                <w:sz w:val="15"/>
                <w:szCs w:val="15"/>
              </w:rPr>
              <w:t xml:space="preserve">Actual CPI – Rented </w:t>
            </w:r>
            <w:proofErr w:type="spellStart"/>
            <w:r w:rsidRPr="000F43CF">
              <w:rPr>
                <w:rFonts w:ascii="Arial" w:eastAsia="Arial" w:hAnsi="Arial" w:cs="Arial"/>
                <w:b/>
                <w:bCs/>
                <w:color w:val="000000" w:themeColor="text1"/>
                <w:sz w:val="15"/>
                <w:szCs w:val="15"/>
              </w:rPr>
              <w:t>Accomm</w:t>
            </w:r>
            <w:proofErr w:type="spellEnd"/>
            <w:r w:rsidRPr="000F43CF">
              <w:rPr>
                <w:rFonts w:ascii="Arial" w:eastAsia="Arial" w:hAnsi="Arial" w:cs="Arial"/>
                <w:b/>
                <w:bCs/>
                <w:color w:val="000000" w:themeColor="text1"/>
                <w:sz w:val="15"/>
                <w:szCs w:val="15"/>
              </w:rPr>
              <w:t>.</w:t>
            </w:r>
          </w:p>
        </w:tc>
        <w:tc>
          <w:tcPr>
            <w:tcW w:w="2360" w:type="dxa"/>
            <w:tcBorders>
              <w:top w:val="single" w:sz="4" w:space="0" w:color="C9C9C9"/>
              <w:left w:val="single" w:sz="4" w:space="0" w:color="C9C9C9"/>
              <w:bottom w:val="single" w:sz="4" w:space="0" w:color="C9C9C9"/>
              <w:right w:val="single" w:sz="4" w:space="0" w:color="C9C9C9"/>
            </w:tcBorders>
            <w:shd w:val="clear" w:color="auto" w:fill="D4DEE4"/>
            <w:tcMar>
              <w:top w:w="30" w:type="dxa"/>
              <w:left w:w="160" w:type="dxa"/>
              <w:bottom w:w="30" w:type="dxa"/>
              <w:right w:w="160" w:type="dxa"/>
            </w:tcMar>
            <w:vAlign w:val="center"/>
          </w:tcPr>
          <w:p w14:paraId="455ED9EB" w14:textId="77777777" w:rsidR="00DB38FD" w:rsidRPr="000F43CF" w:rsidRDefault="00DB29A2" w:rsidP="008E30E5">
            <w:pPr>
              <w:jc w:val="center"/>
              <w:rPr>
                <w:color w:val="000000" w:themeColor="text1"/>
              </w:rPr>
            </w:pPr>
            <w:r w:rsidRPr="000F43CF">
              <w:rPr>
                <w:rFonts w:ascii="Arial" w:eastAsia="Arial" w:hAnsi="Arial" w:cs="Arial"/>
                <w:b/>
                <w:bCs/>
                <w:color w:val="000000" w:themeColor="text1"/>
                <w:sz w:val="15"/>
                <w:szCs w:val="15"/>
              </w:rPr>
              <w:t>Applicable Rate (2026)</w:t>
            </w:r>
          </w:p>
        </w:tc>
      </w:tr>
      <w:tr w:rsidR="00DB38FD" w14:paraId="07454207" w14:textId="77777777">
        <w:tc>
          <w:tcPr>
            <w:tcW w:w="23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04F4BDD1" w14:textId="77777777" w:rsidR="00DB38FD" w:rsidRDefault="00DB29A2">
            <w:r>
              <w:rPr>
                <w:rFonts w:ascii="Arial" w:eastAsia="Arial" w:hAnsi="Arial" w:cs="Arial"/>
                <w:color w:val="1A1A1A"/>
                <w:sz w:val="15"/>
                <w:szCs w:val="15"/>
              </w:rPr>
              <w:t>Alberta</w:t>
            </w:r>
          </w:p>
        </w:tc>
        <w:tc>
          <w:tcPr>
            <w:tcW w:w="1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3C22A7BC" w14:textId="77777777" w:rsidR="00DB38FD" w:rsidRDefault="00DB29A2" w:rsidP="008E30E5">
            <w:pPr>
              <w:jc w:val="center"/>
            </w:pPr>
            <w:r>
              <w:rPr>
                <w:rFonts w:ascii="Arial" w:eastAsia="Arial" w:hAnsi="Arial" w:cs="Arial"/>
                <w:color w:val="1A1A1A"/>
                <w:sz w:val="15"/>
                <w:szCs w:val="15"/>
              </w:rPr>
              <w:t>None</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1889A29A" w14:textId="77777777" w:rsidR="00DB38FD" w:rsidRDefault="00DB29A2" w:rsidP="008E30E5">
            <w:pPr>
              <w:jc w:val="center"/>
            </w:pPr>
            <w:r>
              <w:rPr>
                <w:rFonts w:ascii="Arial" w:eastAsia="Arial" w:hAnsi="Arial" w:cs="Arial"/>
                <w:color w:val="1A1A1A"/>
                <w:sz w:val="15"/>
                <w:szCs w:val="15"/>
              </w:rPr>
              <w:t>1.3%</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732FB679" w14:textId="77777777" w:rsidR="00DB38FD" w:rsidRDefault="00DB29A2" w:rsidP="008E30E5">
            <w:pPr>
              <w:jc w:val="center"/>
            </w:pPr>
            <w:r>
              <w:rPr>
                <w:rFonts w:ascii="Arial" w:eastAsia="Arial" w:hAnsi="Arial" w:cs="Arial"/>
                <w:color w:val="1A1A1A"/>
                <w:sz w:val="15"/>
                <w:szCs w:val="15"/>
              </w:rPr>
              <w:t>3.7%</w:t>
            </w:r>
          </w:p>
        </w:tc>
        <w:tc>
          <w:tcPr>
            <w:tcW w:w="23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08783992" w14:textId="77777777" w:rsidR="00DB38FD" w:rsidRDefault="00DB29A2" w:rsidP="008E30E5">
            <w:pPr>
              <w:jc w:val="center"/>
            </w:pPr>
            <w:r>
              <w:rPr>
                <w:rFonts w:ascii="Arial" w:eastAsia="Arial" w:hAnsi="Arial" w:cs="Arial"/>
                <w:b/>
                <w:bCs/>
                <w:color w:val="026AFF"/>
                <w:sz w:val="15"/>
                <w:szCs w:val="15"/>
              </w:rPr>
              <w:t>3.7%</w:t>
            </w:r>
          </w:p>
        </w:tc>
      </w:tr>
      <w:tr w:rsidR="00DB38FD" w14:paraId="7ACB66B0" w14:textId="77777777">
        <w:tc>
          <w:tcPr>
            <w:tcW w:w="23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0702AB90" w14:textId="77777777" w:rsidR="00DB38FD" w:rsidRDefault="00DB29A2">
            <w:r>
              <w:rPr>
                <w:rFonts w:ascii="Arial" w:eastAsia="Arial" w:hAnsi="Arial" w:cs="Arial"/>
                <w:color w:val="1A1A1A"/>
                <w:sz w:val="15"/>
                <w:szCs w:val="15"/>
              </w:rPr>
              <w:t>British Columbia</w:t>
            </w:r>
          </w:p>
        </w:tc>
        <w:tc>
          <w:tcPr>
            <w:tcW w:w="1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0C7C5C74" w14:textId="1DC1A525" w:rsidR="00DB38FD" w:rsidRDefault="00DB29A2" w:rsidP="008E30E5">
            <w:pPr>
              <w:jc w:val="center"/>
            </w:pPr>
            <w:r>
              <w:rPr>
                <w:rFonts w:ascii="Arial" w:eastAsia="Arial" w:hAnsi="Arial" w:cs="Arial"/>
                <w:color w:val="1A1A1A"/>
                <w:sz w:val="15"/>
                <w:szCs w:val="15"/>
              </w:rPr>
              <w:t>2.3%</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19F376E7" w14:textId="77777777" w:rsidR="00DB38FD" w:rsidRDefault="00DB29A2" w:rsidP="008E30E5">
            <w:pPr>
              <w:jc w:val="center"/>
            </w:pPr>
            <w:r>
              <w:rPr>
                <w:rFonts w:ascii="Arial" w:eastAsia="Arial" w:hAnsi="Arial" w:cs="Arial"/>
                <w:color w:val="1A1A1A"/>
                <w:sz w:val="15"/>
                <w:szCs w:val="15"/>
              </w:rPr>
              <w:t>3.0%</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2C254E91" w14:textId="77777777" w:rsidR="00DB38FD" w:rsidRDefault="00DB29A2" w:rsidP="008E30E5">
            <w:pPr>
              <w:jc w:val="center"/>
            </w:pPr>
            <w:r>
              <w:rPr>
                <w:rFonts w:ascii="Arial" w:eastAsia="Arial" w:hAnsi="Arial" w:cs="Arial"/>
                <w:color w:val="1A1A1A"/>
                <w:sz w:val="15"/>
                <w:szCs w:val="15"/>
              </w:rPr>
              <w:t>1.8%</w:t>
            </w:r>
          </w:p>
        </w:tc>
        <w:tc>
          <w:tcPr>
            <w:tcW w:w="23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2E43D191" w14:textId="77777777" w:rsidR="00DB38FD" w:rsidRDefault="00DB29A2" w:rsidP="008E30E5">
            <w:pPr>
              <w:jc w:val="center"/>
            </w:pPr>
            <w:r>
              <w:rPr>
                <w:rFonts w:ascii="Arial" w:eastAsia="Arial" w:hAnsi="Arial" w:cs="Arial"/>
                <w:b/>
                <w:bCs/>
                <w:color w:val="026AFF"/>
                <w:sz w:val="15"/>
                <w:szCs w:val="15"/>
              </w:rPr>
              <w:t>2.3%</w:t>
            </w:r>
          </w:p>
        </w:tc>
      </w:tr>
      <w:tr w:rsidR="00DB38FD" w14:paraId="3A0A0A9F" w14:textId="77777777">
        <w:tc>
          <w:tcPr>
            <w:tcW w:w="23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82F64EC" w14:textId="77777777" w:rsidR="00DB38FD" w:rsidRDefault="00DB29A2">
            <w:r>
              <w:rPr>
                <w:rFonts w:ascii="Arial" w:eastAsia="Arial" w:hAnsi="Arial" w:cs="Arial"/>
                <w:color w:val="1A1A1A"/>
                <w:sz w:val="15"/>
                <w:szCs w:val="15"/>
              </w:rPr>
              <w:t>Manitoba‡</w:t>
            </w:r>
          </w:p>
        </w:tc>
        <w:tc>
          <w:tcPr>
            <w:tcW w:w="1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7D3F9CA7" w14:textId="77777777" w:rsidR="00DB38FD" w:rsidRDefault="00DB29A2" w:rsidP="008E30E5">
            <w:pPr>
              <w:jc w:val="center"/>
            </w:pPr>
            <w:r>
              <w:rPr>
                <w:rFonts w:ascii="Arial" w:eastAsia="Arial" w:hAnsi="Arial" w:cs="Arial"/>
                <w:color w:val="1A1A1A"/>
                <w:sz w:val="15"/>
                <w:szCs w:val="15"/>
              </w:rPr>
              <w:t>1.8%</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0C69BA97" w14:textId="77777777" w:rsidR="00DB38FD" w:rsidRDefault="00DB29A2" w:rsidP="008E30E5">
            <w:pPr>
              <w:jc w:val="center"/>
            </w:pPr>
            <w:r>
              <w:rPr>
                <w:rFonts w:ascii="Arial" w:eastAsia="Arial" w:hAnsi="Arial" w:cs="Arial"/>
                <w:color w:val="1A1A1A"/>
                <w:sz w:val="15"/>
                <w:szCs w:val="15"/>
              </w:rPr>
              <w:t>3.6%</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4F27F983" w14:textId="77777777" w:rsidR="00DB38FD" w:rsidRDefault="00DB29A2" w:rsidP="008E30E5">
            <w:pPr>
              <w:jc w:val="center"/>
            </w:pPr>
            <w:r>
              <w:rPr>
                <w:rFonts w:ascii="Arial" w:eastAsia="Arial" w:hAnsi="Arial" w:cs="Arial"/>
                <w:color w:val="1A1A1A"/>
                <w:sz w:val="15"/>
                <w:szCs w:val="15"/>
              </w:rPr>
              <w:t>2.3%</w:t>
            </w:r>
          </w:p>
        </w:tc>
        <w:tc>
          <w:tcPr>
            <w:tcW w:w="23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4B9BFB71" w14:textId="77777777" w:rsidR="00DB38FD" w:rsidRDefault="00DB29A2" w:rsidP="008E30E5">
            <w:pPr>
              <w:jc w:val="center"/>
            </w:pPr>
            <w:r>
              <w:rPr>
                <w:rFonts w:ascii="Arial" w:eastAsia="Arial" w:hAnsi="Arial" w:cs="Arial"/>
                <w:b/>
                <w:bCs/>
                <w:color w:val="026AFF"/>
                <w:sz w:val="15"/>
                <w:szCs w:val="15"/>
              </w:rPr>
              <w:t>1.8%</w:t>
            </w:r>
          </w:p>
        </w:tc>
      </w:tr>
      <w:tr w:rsidR="00DB38FD" w14:paraId="1BF00400" w14:textId="77777777">
        <w:tc>
          <w:tcPr>
            <w:tcW w:w="23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2E46572B" w14:textId="77777777" w:rsidR="00DB38FD" w:rsidRDefault="00DB29A2">
            <w:r>
              <w:rPr>
                <w:rFonts w:ascii="Arial" w:eastAsia="Arial" w:hAnsi="Arial" w:cs="Arial"/>
                <w:color w:val="1A1A1A"/>
                <w:sz w:val="15"/>
                <w:szCs w:val="15"/>
              </w:rPr>
              <w:t>New Brunswick</w:t>
            </w:r>
          </w:p>
        </w:tc>
        <w:tc>
          <w:tcPr>
            <w:tcW w:w="1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5B8AEB8E" w14:textId="77777777" w:rsidR="00DB38FD" w:rsidRDefault="00DB29A2" w:rsidP="008E30E5">
            <w:pPr>
              <w:jc w:val="center"/>
            </w:pPr>
            <w:r>
              <w:rPr>
                <w:rFonts w:ascii="Arial" w:eastAsia="Arial" w:hAnsi="Arial" w:cs="Arial"/>
                <w:color w:val="1A1A1A"/>
                <w:sz w:val="15"/>
                <w:szCs w:val="15"/>
              </w:rPr>
              <w:t>3.0%</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7B7B85BE" w14:textId="77777777" w:rsidR="00DB38FD" w:rsidRDefault="00DB29A2" w:rsidP="008E30E5">
            <w:pPr>
              <w:jc w:val="center"/>
            </w:pPr>
            <w:r>
              <w:rPr>
                <w:rFonts w:ascii="Arial" w:eastAsia="Arial" w:hAnsi="Arial" w:cs="Arial"/>
                <w:color w:val="1A1A1A"/>
                <w:sz w:val="15"/>
                <w:szCs w:val="15"/>
              </w:rPr>
              <w:t>5.8%</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4CC6BE16" w14:textId="77777777" w:rsidR="00DB38FD" w:rsidRDefault="00DB29A2" w:rsidP="008E30E5">
            <w:pPr>
              <w:jc w:val="center"/>
            </w:pPr>
            <w:r>
              <w:rPr>
                <w:rFonts w:ascii="Arial" w:eastAsia="Arial" w:hAnsi="Arial" w:cs="Arial"/>
                <w:color w:val="1A1A1A"/>
                <w:sz w:val="15"/>
                <w:szCs w:val="15"/>
              </w:rPr>
              <w:t>6.2%</w:t>
            </w:r>
          </w:p>
        </w:tc>
        <w:tc>
          <w:tcPr>
            <w:tcW w:w="23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7F7739C4" w14:textId="77777777" w:rsidR="00DB38FD" w:rsidRDefault="00DB29A2" w:rsidP="008E30E5">
            <w:pPr>
              <w:jc w:val="center"/>
            </w:pPr>
            <w:r>
              <w:rPr>
                <w:rFonts w:ascii="Arial" w:eastAsia="Arial" w:hAnsi="Arial" w:cs="Arial"/>
                <w:b/>
                <w:bCs/>
                <w:color w:val="026AFF"/>
                <w:sz w:val="15"/>
                <w:szCs w:val="15"/>
              </w:rPr>
              <w:t>3.0%</w:t>
            </w:r>
          </w:p>
        </w:tc>
      </w:tr>
      <w:tr w:rsidR="00DB38FD" w14:paraId="14678E78" w14:textId="77777777">
        <w:tc>
          <w:tcPr>
            <w:tcW w:w="23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1D627C6" w14:textId="77777777" w:rsidR="00DB38FD" w:rsidRDefault="00DB29A2">
            <w:r>
              <w:rPr>
                <w:rFonts w:ascii="Arial" w:eastAsia="Arial" w:hAnsi="Arial" w:cs="Arial"/>
                <w:color w:val="1A1A1A"/>
                <w:sz w:val="15"/>
                <w:szCs w:val="15"/>
              </w:rPr>
              <w:t>Newfoundland and Labrador</w:t>
            </w:r>
          </w:p>
        </w:tc>
        <w:tc>
          <w:tcPr>
            <w:tcW w:w="1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FC0C479" w14:textId="77777777" w:rsidR="00DB38FD" w:rsidRDefault="00DB29A2" w:rsidP="008E30E5">
            <w:pPr>
              <w:jc w:val="center"/>
            </w:pPr>
            <w:r>
              <w:rPr>
                <w:rFonts w:ascii="Arial" w:eastAsia="Arial" w:hAnsi="Arial" w:cs="Arial"/>
                <w:color w:val="1A1A1A"/>
                <w:sz w:val="15"/>
                <w:szCs w:val="15"/>
              </w:rPr>
              <w:t>None</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513E453A" w14:textId="77777777" w:rsidR="00DB38FD" w:rsidRDefault="00DB29A2" w:rsidP="008E30E5">
            <w:pPr>
              <w:jc w:val="center"/>
            </w:pPr>
            <w:r>
              <w:rPr>
                <w:rFonts w:ascii="Arial" w:eastAsia="Arial" w:hAnsi="Arial" w:cs="Arial"/>
                <w:color w:val="1A1A1A"/>
                <w:sz w:val="15"/>
                <w:szCs w:val="15"/>
              </w:rPr>
              <w:t>0.6%</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5CF291DE" w14:textId="77777777" w:rsidR="00DB38FD" w:rsidRDefault="00DB29A2" w:rsidP="008E30E5">
            <w:pPr>
              <w:jc w:val="center"/>
            </w:pPr>
            <w:r>
              <w:rPr>
                <w:rFonts w:ascii="Arial" w:eastAsia="Arial" w:hAnsi="Arial" w:cs="Arial"/>
                <w:color w:val="1A1A1A"/>
                <w:sz w:val="15"/>
                <w:szCs w:val="15"/>
              </w:rPr>
              <w:t>5.1%</w:t>
            </w:r>
          </w:p>
        </w:tc>
        <w:tc>
          <w:tcPr>
            <w:tcW w:w="23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0D2DCA5" w14:textId="77777777" w:rsidR="00DB38FD" w:rsidRDefault="00DB29A2" w:rsidP="008E30E5">
            <w:pPr>
              <w:jc w:val="center"/>
            </w:pPr>
            <w:r>
              <w:rPr>
                <w:rFonts w:ascii="Arial" w:eastAsia="Arial" w:hAnsi="Arial" w:cs="Arial"/>
                <w:b/>
                <w:bCs/>
                <w:color w:val="026AFF"/>
                <w:sz w:val="15"/>
                <w:szCs w:val="15"/>
              </w:rPr>
              <w:t>5.1%</w:t>
            </w:r>
          </w:p>
        </w:tc>
      </w:tr>
      <w:tr w:rsidR="00DB38FD" w14:paraId="408C210D" w14:textId="77777777">
        <w:tc>
          <w:tcPr>
            <w:tcW w:w="23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63D153FA" w14:textId="77777777" w:rsidR="00DB38FD" w:rsidRDefault="00DB29A2">
            <w:r>
              <w:rPr>
                <w:rFonts w:ascii="Arial" w:eastAsia="Arial" w:hAnsi="Arial" w:cs="Arial"/>
                <w:color w:val="1A1A1A"/>
                <w:sz w:val="15"/>
                <w:szCs w:val="15"/>
              </w:rPr>
              <w:t>Nova Scotia</w:t>
            </w:r>
          </w:p>
        </w:tc>
        <w:tc>
          <w:tcPr>
            <w:tcW w:w="1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708F9B79" w14:textId="77777777" w:rsidR="00DB38FD" w:rsidRDefault="00DB29A2" w:rsidP="008E30E5">
            <w:pPr>
              <w:jc w:val="center"/>
            </w:pPr>
            <w:r>
              <w:rPr>
                <w:rFonts w:ascii="Arial" w:eastAsia="Arial" w:hAnsi="Arial" w:cs="Arial"/>
                <w:color w:val="1A1A1A"/>
                <w:sz w:val="15"/>
                <w:szCs w:val="15"/>
              </w:rPr>
              <w:t>5.0%</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504C623F" w14:textId="77777777" w:rsidR="00DB38FD" w:rsidRDefault="00DB29A2" w:rsidP="008E30E5">
            <w:pPr>
              <w:jc w:val="center"/>
            </w:pPr>
            <w:r>
              <w:rPr>
                <w:rFonts w:ascii="Arial" w:eastAsia="Arial" w:hAnsi="Arial" w:cs="Arial"/>
                <w:color w:val="1A1A1A"/>
                <w:sz w:val="15"/>
                <w:szCs w:val="15"/>
              </w:rPr>
              <w:t>4.7%</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1D61FD4E" w14:textId="77777777" w:rsidR="00DB38FD" w:rsidRDefault="00DB29A2" w:rsidP="008E30E5">
            <w:pPr>
              <w:jc w:val="center"/>
            </w:pPr>
            <w:r>
              <w:rPr>
                <w:rFonts w:ascii="Arial" w:eastAsia="Arial" w:hAnsi="Arial" w:cs="Arial"/>
                <w:color w:val="1A1A1A"/>
                <w:sz w:val="15"/>
                <w:szCs w:val="15"/>
              </w:rPr>
              <w:t>6.7%</w:t>
            </w:r>
          </w:p>
        </w:tc>
        <w:tc>
          <w:tcPr>
            <w:tcW w:w="23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533F5AD3" w14:textId="77777777" w:rsidR="00DB38FD" w:rsidRDefault="00DB29A2" w:rsidP="008E30E5">
            <w:pPr>
              <w:jc w:val="center"/>
            </w:pPr>
            <w:r>
              <w:rPr>
                <w:rFonts w:ascii="Arial" w:eastAsia="Arial" w:hAnsi="Arial" w:cs="Arial"/>
                <w:b/>
                <w:bCs/>
                <w:color w:val="026AFF"/>
                <w:sz w:val="15"/>
                <w:szCs w:val="15"/>
              </w:rPr>
              <w:t>5.0%</w:t>
            </w:r>
          </w:p>
        </w:tc>
      </w:tr>
      <w:tr w:rsidR="00DB38FD" w14:paraId="4348FB17" w14:textId="77777777">
        <w:tc>
          <w:tcPr>
            <w:tcW w:w="23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5ADCC5BD" w14:textId="77777777" w:rsidR="00DB38FD" w:rsidRDefault="00DB29A2">
            <w:r>
              <w:rPr>
                <w:rFonts w:ascii="Arial" w:eastAsia="Arial" w:hAnsi="Arial" w:cs="Arial"/>
                <w:color w:val="1A1A1A"/>
                <w:sz w:val="15"/>
                <w:szCs w:val="15"/>
              </w:rPr>
              <w:t>Ontario (built pre-Nov 15, 2018)</w:t>
            </w:r>
          </w:p>
        </w:tc>
        <w:tc>
          <w:tcPr>
            <w:tcW w:w="1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29AD194" w14:textId="2DEBB589" w:rsidR="00DB38FD" w:rsidRDefault="00DB29A2" w:rsidP="008E30E5">
            <w:pPr>
              <w:jc w:val="center"/>
            </w:pPr>
            <w:r>
              <w:rPr>
                <w:rFonts w:ascii="Arial" w:eastAsia="Arial" w:hAnsi="Arial" w:cs="Arial"/>
                <w:color w:val="1A1A1A"/>
                <w:sz w:val="15"/>
                <w:szCs w:val="15"/>
              </w:rPr>
              <w:t>2.1%</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8670683" w14:textId="77777777" w:rsidR="00DB38FD" w:rsidRDefault="00DB29A2" w:rsidP="008E30E5">
            <w:pPr>
              <w:jc w:val="center"/>
            </w:pPr>
            <w:r>
              <w:rPr>
                <w:rFonts w:ascii="Arial" w:eastAsia="Arial" w:hAnsi="Arial" w:cs="Arial"/>
                <w:color w:val="1A1A1A"/>
                <w:sz w:val="15"/>
                <w:szCs w:val="15"/>
              </w:rPr>
              <w:t>2.9%</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5371B112" w14:textId="77777777" w:rsidR="00DB38FD" w:rsidRDefault="00DB29A2" w:rsidP="008E30E5">
            <w:pPr>
              <w:jc w:val="center"/>
            </w:pPr>
            <w:r>
              <w:rPr>
                <w:rFonts w:ascii="Arial" w:eastAsia="Arial" w:hAnsi="Arial" w:cs="Arial"/>
                <w:color w:val="1A1A1A"/>
                <w:sz w:val="15"/>
                <w:szCs w:val="15"/>
              </w:rPr>
              <w:t>3.5%</w:t>
            </w:r>
          </w:p>
        </w:tc>
        <w:tc>
          <w:tcPr>
            <w:tcW w:w="23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4BA2E571" w14:textId="77777777" w:rsidR="00DB38FD" w:rsidRDefault="00DB29A2" w:rsidP="008E30E5">
            <w:pPr>
              <w:jc w:val="center"/>
            </w:pPr>
            <w:r>
              <w:rPr>
                <w:rFonts w:ascii="Arial" w:eastAsia="Arial" w:hAnsi="Arial" w:cs="Arial"/>
                <w:b/>
                <w:bCs/>
                <w:color w:val="026AFF"/>
                <w:sz w:val="15"/>
                <w:szCs w:val="15"/>
              </w:rPr>
              <w:t>2.1%</w:t>
            </w:r>
          </w:p>
        </w:tc>
      </w:tr>
      <w:tr w:rsidR="00DB38FD" w14:paraId="3DBCB1FC" w14:textId="77777777">
        <w:tc>
          <w:tcPr>
            <w:tcW w:w="23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61D56F6E" w14:textId="77777777" w:rsidR="00DB38FD" w:rsidRDefault="00DB29A2">
            <w:r>
              <w:rPr>
                <w:rFonts w:ascii="Arial" w:eastAsia="Arial" w:hAnsi="Arial" w:cs="Arial"/>
                <w:color w:val="1A1A1A"/>
                <w:sz w:val="15"/>
                <w:szCs w:val="15"/>
              </w:rPr>
              <w:t>Ontario (built post-Nov 15, 2018)†</w:t>
            </w:r>
          </w:p>
        </w:tc>
        <w:tc>
          <w:tcPr>
            <w:tcW w:w="1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5420B324" w14:textId="26903A92" w:rsidR="00DB38FD" w:rsidRDefault="00DB29A2" w:rsidP="008E30E5">
            <w:pPr>
              <w:jc w:val="center"/>
            </w:pPr>
            <w:r>
              <w:rPr>
                <w:rFonts w:ascii="Arial" w:eastAsia="Arial" w:hAnsi="Arial" w:cs="Arial"/>
                <w:color w:val="1A1A1A"/>
                <w:sz w:val="15"/>
                <w:szCs w:val="15"/>
              </w:rPr>
              <w:t>Exempt</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0585404D" w14:textId="77777777" w:rsidR="00DB38FD" w:rsidRDefault="00DB29A2" w:rsidP="008E30E5">
            <w:pPr>
              <w:jc w:val="center"/>
            </w:pPr>
            <w:r>
              <w:rPr>
                <w:rFonts w:ascii="Arial" w:eastAsia="Arial" w:hAnsi="Arial" w:cs="Arial"/>
                <w:color w:val="1A1A1A"/>
                <w:sz w:val="15"/>
                <w:szCs w:val="15"/>
              </w:rPr>
              <w:t>2.9%</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640083BE" w14:textId="77777777" w:rsidR="00DB38FD" w:rsidRDefault="00DB29A2" w:rsidP="008E30E5">
            <w:pPr>
              <w:jc w:val="center"/>
            </w:pPr>
            <w:r>
              <w:rPr>
                <w:rFonts w:ascii="Arial" w:eastAsia="Arial" w:hAnsi="Arial" w:cs="Arial"/>
                <w:color w:val="1A1A1A"/>
                <w:sz w:val="15"/>
                <w:szCs w:val="15"/>
              </w:rPr>
              <w:t>3.5%</w:t>
            </w:r>
          </w:p>
        </w:tc>
        <w:tc>
          <w:tcPr>
            <w:tcW w:w="23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02CAEB97" w14:textId="77777777" w:rsidR="00DB38FD" w:rsidRDefault="00DB29A2" w:rsidP="008E30E5">
            <w:pPr>
              <w:jc w:val="center"/>
            </w:pPr>
            <w:r>
              <w:rPr>
                <w:rFonts w:ascii="Arial" w:eastAsia="Arial" w:hAnsi="Arial" w:cs="Arial"/>
                <w:b/>
                <w:bCs/>
                <w:color w:val="026AFF"/>
                <w:sz w:val="15"/>
                <w:szCs w:val="15"/>
              </w:rPr>
              <w:t>3.5%</w:t>
            </w:r>
          </w:p>
        </w:tc>
      </w:tr>
      <w:tr w:rsidR="00DB38FD" w14:paraId="378B5F0C" w14:textId="77777777">
        <w:tc>
          <w:tcPr>
            <w:tcW w:w="23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0B04D7E2" w14:textId="77777777" w:rsidR="00DB38FD" w:rsidRDefault="00DB29A2">
            <w:r>
              <w:rPr>
                <w:rFonts w:ascii="Arial" w:eastAsia="Arial" w:hAnsi="Arial" w:cs="Arial"/>
                <w:color w:val="1A1A1A"/>
                <w:sz w:val="15"/>
                <w:szCs w:val="15"/>
              </w:rPr>
              <w:t>Prince Edward Island</w:t>
            </w:r>
          </w:p>
        </w:tc>
        <w:tc>
          <w:tcPr>
            <w:tcW w:w="1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53DAC095" w14:textId="77777777" w:rsidR="00DB38FD" w:rsidRDefault="00DB29A2" w:rsidP="008E30E5">
            <w:pPr>
              <w:jc w:val="center"/>
            </w:pPr>
            <w:r>
              <w:rPr>
                <w:rFonts w:ascii="Arial" w:eastAsia="Arial" w:hAnsi="Arial" w:cs="Arial"/>
                <w:color w:val="1A1A1A"/>
                <w:sz w:val="15"/>
                <w:szCs w:val="15"/>
              </w:rPr>
              <w:t>2.0%</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0A1AF8E9" w14:textId="77777777" w:rsidR="00DB38FD" w:rsidRDefault="00DB29A2" w:rsidP="008E30E5">
            <w:pPr>
              <w:jc w:val="center"/>
            </w:pPr>
            <w:r>
              <w:rPr>
                <w:rFonts w:ascii="Arial" w:eastAsia="Arial" w:hAnsi="Arial" w:cs="Arial"/>
                <w:color w:val="1A1A1A"/>
                <w:sz w:val="15"/>
                <w:szCs w:val="15"/>
              </w:rPr>
              <w:t>0.5%</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47CBC1E2" w14:textId="77777777" w:rsidR="00DB38FD" w:rsidRDefault="00DB29A2" w:rsidP="008E30E5">
            <w:pPr>
              <w:jc w:val="center"/>
            </w:pPr>
            <w:r>
              <w:rPr>
                <w:rFonts w:ascii="Arial" w:eastAsia="Arial" w:hAnsi="Arial" w:cs="Arial"/>
                <w:color w:val="1A1A1A"/>
                <w:sz w:val="15"/>
                <w:szCs w:val="15"/>
              </w:rPr>
              <w:t>2.1%</w:t>
            </w:r>
          </w:p>
        </w:tc>
        <w:tc>
          <w:tcPr>
            <w:tcW w:w="23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ED9E0A0" w14:textId="77777777" w:rsidR="00DB38FD" w:rsidRDefault="00DB29A2" w:rsidP="008E30E5">
            <w:pPr>
              <w:jc w:val="center"/>
            </w:pPr>
            <w:r>
              <w:rPr>
                <w:rFonts w:ascii="Arial" w:eastAsia="Arial" w:hAnsi="Arial" w:cs="Arial"/>
                <w:b/>
                <w:bCs/>
                <w:color w:val="026AFF"/>
                <w:sz w:val="15"/>
                <w:szCs w:val="15"/>
              </w:rPr>
              <w:t>2.0%</w:t>
            </w:r>
          </w:p>
        </w:tc>
      </w:tr>
      <w:tr w:rsidR="00DB38FD" w14:paraId="7F3DF449" w14:textId="77777777">
        <w:tc>
          <w:tcPr>
            <w:tcW w:w="23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78CA3230" w14:textId="77777777" w:rsidR="00DB38FD" w:rsidRDefault="00DB29A2">
            <w:r>
              <w:rPr>
                <w:rFonts w:ascii="Arial" w:eastAsia="Arial" w:hAnsi="Arial" w:cs="Arial"/>
                <w:color w:val="1A1A1A"/>
                <w:sz w:val="15"/>
                <w:szCs w:val="15"/>
              </w:rPr>
              <w:t>Quebec</w:t>
            </w:r>
          </w:p>
        </w:tc>
        <w:tc>
          <w:tcPr>
            <w:tcW w:w="1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7FF44BAD" w14:textId="4CE8CC43" w:rsidR="00DB38FD" w:rsidRDefault="00DB29A2" w:rsidP="008E30E5">
            <w:pPr>
              <w:jc w:val="center"/>
            </w:pPr>
            <w:r>
              <w:rPr>
                <w:rFonts w:ascii="Arial" w:eastAsia="Arial" w:hAnsi="Arial" w:cs="Arial"/>
                <w:color w:val="1A1A1A"/>
                <w:sz w:val="15"/>
                <w:szCs w:val="15"/>
              </w:rPr>
              <w:t>TAL* Decision</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5A082FF2" w14:textId="77777777" w:rsidR="00DB38FD" w:rsidRDefault="00DB29A2" w:rsidP="008E30E5">
            <w:pPr>
              <w:jc w:val="center"/>
            </w:pPr>
            <w:r>
              <w:rPr>
                <w:rFonts w:ascii="Arial" w:eastAsia="Arial" w:hAnsi="Arial" w:cs="Arial"/>
                <w:color w:val="1A1A1A"/>
                <w:sz w:val="15"/>
                <w:szCs w:val="15"/>
              </w:rPr>
              <w:t>5.7%</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072439C0" w14:textId="77777777" w:rsidR="00DB38FD" w:rsidRDefault="00DB29A2" w:rsidP="008E30E5">
            <w:pPr>
              <w:jc w:val="center"/>
            </w:pPr>
            <w:r>
              <w:rPr>
                <w:rFonts w:ascii="Arial" w:eastAsia="Arial" w:hAnsi="Arial" w:cs="Arial"/>
                <w:color w:val="1A1A1A"/>
                <w:sz w:val="15"/>
                <w:szCs w:val="15"/>
              </w:rPr>
              <w:t>9.3%</w:t>
            </w:r>
          </w:p>
        </w:tc>
        <w:tc>
          <w:tcPr>
            <w:tcW w:w="23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13C81E45" w14:textId="77777777" w:rsidR="00DB38FD" w:rsidRDefault="00DB29A2" w:rsidP="008E30E5">
            <w:pPr>
              <w:jc w:val="center"/>
            </w:pPr>
            <w:r>
              <w:rPr>
                <w:rFonts w:ascii="Arial" w:eastAsia="Arial" w:hAnsi="Arial" w:cs="Arial"/>
                <w:b/>
                <w:bCs/>
                <w:color w:val="026AFF"/>
                <w:sz w:val="15"/>
                <w:szCs w:val="15"/>
              </w:rPr>
              <w:t>TAL* Decision or 9.3%</w:t>
            </w:r>
          </w:p>
        </w:tc>
      </w:tr>
      <w:tr w:rsidR="00DB38FD" w14:paraId="3294FD8B" w14:textId="77777777">
        <w:tc>
          <w:tcPr>
            <w:tcW w:w="23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06D18FB5" w14:textId="77777777" w:rsidR="00DB38FD" w:rsidRDefault="00DB29A2">
            <w:r>
              <w:rPr>
                <w:rFonts w:ascii="Arial" w:eastAsia="Arial" w:hAnsi="Arial" w:cs="Arial"/>
                <w:color w:val="1A1A1A"/>
                <w:sz w:val="15"/>
                <w:szCs w:val="15"/>
              </w:rPr>
              <w:t>Saskatchewan</w:t>
            </w:r>
          </w:p>
        </w:tc>
        <w:tc>
          <w:tcPr>
            <w:tcW w:w="1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3082B78C" w14:textId="77777777" w:rsidR="00DB38FD" w:rsidRDefault="00DB29A2" w:rsidP="008E30E5">
            <w:pPr>
              <w:jc w:val="center"/>
            </w:pPr>
            <w:r>
              <w:rPr>
                <w:rFonts w:ascii="Arial" w:eastAsia="Arial" w:hAnsi="Arial" w:cs="Arial"/>
                <w:color w:val="1A1A1A"/>
                <w:sz w:val="15"/>
                <w:szCs w:val="15"/>
              </w:rPr>
              <w:t>None</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21C83075" w14:textId="77777777" w:rsidR="00DB38FD" w:rsidRDefault="00DB29A2" w:rsidP="008E30E5">
            <w:pPr>
              <w:jc w:val="center"/>
            </w:pPr>
            <w:r>
              <w:rPr>
                <w:rFonts w:ascii="Arial" w:eastAsia="Arial" w:hAnsi="Arial" w:cs="Arial"/>
                <w:color w:val="1A1A1A"/>
                <w:sz w:val="15"/>
                <w:szCs w:val="15"/>
              </w:rPr>
              <w:t>4.5%</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17F7ADA1" w14:textId="77777777" w:rsidR="00DB38FD" w:rsidRDefault="00DB29A2" w:rsidP="008E30E5">
            <w:pPr>
              <w:jc w:val="center"/>
            </w:pPr>
            <w:r>
              <w:rPr>
                <w:rFonts w:ascii="Arial" w:eastAsia="Arial" w:hAnsi="Arial" w:cs="Arial"/>
                <w:color w:val="1A1A1A"/>
                <w:sz w:val="15"/>
                <w:szCs w:val="15"/>
              </w:rPr>
              <w:t>7.1%</w:t>
            </w:r>
          </w:p>
        </w:tc>
        <w:tc>
          <w:tcPr>
            <w:tcW w:w="23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13CCCB03" w14:textId="77777777" w:rsidR="00DB38FD" w:rsidRDefault="00DB29A2" w:rsidP="008E30E5">
            <w:pPr>
              <w:jc w:val="center"/>
            </w:pPr>
            <w:r>
              <w:rPr>
                <w:rFonts w:ascii="Arial" w:eastAsia="Arial" w:hAnsi="Arial" w:cs="Arial"/>
                <w:b/>
                <w:bCs/>
                <w:color w:val="026AFF"/>
                <w:sz w:val="15"/>
                <w:szCs w:val="15"/>
              </w:rPr>
              <w:t>7.1%</w:t>
            </w:r>
          </w:p>
        </w:tc>
      </w:tr>
      <w:tr w:rsidR="00DB38FD" w14:paraId="412874D5" w14:textId="77777777">
        <w:tc>
          <w:tcPr>
            <w:tcW w:w="23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18CF93F7" w14:textId="2147615F" w:rsidR="00DB38FD" w:rsidRDefault="00DB29A2">
            <w:r>
              <w:rPr>
                <w:rFonts w:ascii="Arial" w:eastAsia="Arial" w:hAnsi="Arial" w:cs="Arial"/>
                <w:color w:val="1A1A1A"/>
                <w:sz w:val="15"/>
                <w:szCs w:val="15"/>
              </w:rPr>
              <w:t>Northwest Territories</w:t>
            </w:r>
          </w:p>
        </w:tc>
        <w:tc>
          <w:tcPr>
            <w:tcW w:w="1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6E6C35BB" w14:textId="77777777" w:rsidR="00DB38FD" w:rsidRDefault="00DB29A2" w:rsidP="008E30E5">
            <w:pPr>
              <w:jc w:val="center"/>
            </w:pPr>
            <w:r>
              <w:rPr>
                <w:rFonts w:ascii="Arial" w:eastAsia="Arial" w:hAnsi="Arial" w:cs="Arial"/>
                <w:color w:val="1A1A1A"/>
                <w:sz w:val="15"/>
                <w:szCs w:val="15"/>
              </w:rPr>
              <w:t>None</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48564051" w14:textId="77777777" w:rsidR="00DB38FD" w:rsidRDefault="00DB29A2" w:rsidP="008E30E5">
            <w:pPr>
              <w:jc w:val="center"/>
            </w:pPr>
            <w:r>
              <w:rPr>
                <w:rFonts w:ascii="Arial" w:eastAsia="Arial" w:hAnsi="Arial" w:cs="Arial"/>
                <w:color w:val="1A1A1A"/>
                <w:sz w:val="15"/>
                <w:szCs w:val="15"/>
              </w:rPr>
              <w:t>4.3%</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2FEE4728" w14:textId="77777777" w:rsidR="00DB38FD" w:rsidRDefault="00DB29A2" w:rsidP="008E30E5">
            <w:pPr>
              <w:jc w:val="center"/>
            </w:pPr>
            <w:r>
              <w:rPr>
                <w:rFonts w:ascii="Arial" w:eastAsia="Arial" w:hAnsi="Arial" w:cs="Arial"/>
                <w:color w:val="1A1A1A"/>
                <w:sz w:val="15"/>
                <w:szCs w:val="15"/>
              </w:rPr>
              <w:t>Not available</w:t>
            </w:r>
          </w:p>
        </w:tc>
        <w:tc>
          <w:tcPr>
            <w:tcW w:w="23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632C9A4D" w14:textId="77777777" w:rsidR="00DB38FD" w:rsidRDefault="00DB29A2" w:rsidP="008E30E5">
            <w:pPr>
              <w:jc w:val="center"/>
            </w:pPr>
            <w:r>
              <w:rPr>
                <w:rFonts w:ascii="Arial" w:eastAsia="Arial" w:hAnsi="Arial" w:cs="Arial"/>
                <w:b/>
                <w:bCs/>
                <w:color w:val="026AFF"/>
                <w:sz w:val="15"/>
                <w:szCs w:val="15"/>
              </w:rPr>
              <w:t>4.3%</w:t>
            </w:r>
          </w:p>
        </w:tc>
      </w:tr>
      <w:tr w:rsidR="00DB38FD" w14:paraId="2F1E0960" w14:textId="77777777">
        <w:tc>
          <w:tcPr>
            <w:tcW w:w="23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4816E8B1" w14:textId="77777777" w:rsidR="00DB38FD" w:rsidRDefault="00DB29A2">
            <w:r>
              <w:rPr>
                <w:rFonts w:ascii="Arial" w:eastAsia="Arial" w:hAnsi="Arial" w:cs="Arial"/>
                <w:color w:val="1A1A1A"/>
                <w:sz w:val="15"/>
                <w:szCs w:val="15"/>
              </w:rPr>
              <w:t>Nunavut</w:t>
            </w:r>
          </w:p>
        </w:tc>
        <w:tc>
          <w:tcPr>
            <w:tcW w:w="1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31E9BBEC" w14:textId="77777777" w:rsidR="00DB38FD" w:rsidRDefault="00DB29A2" w:rsidP="008E30E5">
            <w:pPr>
              <w:jc w:val="center"/>
            </w:pPr>
            <w:r>
              <w:rPr>
                <w:rFonts w:ascii="Arial" w:eastAsia="Arial" w:hAnsi="Arial" w:cs="Arial"/>
                <w:color w:val="1A1A1A"/>
                <w:sz w:val="15"/>
                <w:szCs w:val="15"/>
              </w:rPr>
              <w:t>None</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EDB1C9B" w14:textId="77777777" w:rsidR="00DB38FD" w:rsidRDefault="00DB29A2" w:rsidP="008E30E5">
            <w:pPr>
              <w:jc w:val="center"/>
            </w:pPr>
            <w:r>
              <w:rPr>
                <w:rFonts w:ascii="Arial" w:eastAsia="Arial" w:hAnsi="Arial" w:cs="Arial"/>
                <w:color w:val="1A1A1A"/>
                <w:sz w:val="15"/>
                <w:szCs w:val="15"/>
              </w:rPr>
              <w:t>4.3%</w:t>
            </w:r>
          </w:p>
        </w:tc>
        <w:tc>
          <w:tcPr>
            <w:tcW w:w="15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6E55846" w14:textId="77777777" w:rsidR="00DB38FD" w:rsidRDefault="00DB29A2" w:rsidP="008E30E5">
            <w:pPr>
              <w:jc w:val="center"/>
            </w:pPr>
            <w:r>
              <w:rPr>
                <w:rFonts w:ascii="Arial" w:eastAsia="Arial" w:hAnsi="Arial" w:cs="Arial"/>
                <w:color w:val="1A1A1A"/>
                <w:sz w:val="15"/>
                <w:szCs w:val="15"/>
              </w:rPr>
              <w:t>Not available</w:t>
            </w:r>
          </w:p>
        </w:tc>
        <w:tc>
          <w:tcPr>
            <w:tcW w:w="23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077859EA" w14:textId="77777777" w:rsidR="00DB38FD" w:rsidRDefault="00DB29A2" w:rsidP="008E30E5">
            <w:pPr>
              <w:jc w:val="center"/>
            </w:pPr>
            <w:r>
              <w:rPr>
                <w:rFonts w:ascii="Arial" w:eastAsia="Arial" w:hAnsi="Arial" w:cs="Arial"/>
                <w:b/>
                <w:bCs/>
                <w:color w:val="026AFF"/>
                <w:sz w:val="15"/>
                <w:szCs w:val="15"/>
              </w:rPr>
              <w:t>4.3%</w:t>
            </w:r>
          </w:p>
        </w:tc>
      </w:tr>
      <w:tr w:rsidR="00DB38FD" w14:paraId="6976E425" w14:textId="77777777">
        <w:tc>
          <w:tcPr>
            <w:tcW w:w="23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2E5A7786" w14:textId="77777777" w:rsidR="00DB38FD" w:rsidRDefault="00DB29A2">
            <w:r>
              <w:rPr>
                <w:rFonts w:ascii="Arial" w:eastAsia="Arial" w:hAnsi="Arial" w:cs="Arial"/>
                <w:color w:val="1A1A1A"/>
                <w:sz w:val="15"/>
                <w:szCs w:val="15"/>
              </w:rPr>
              <w:t>Yukon</w:t>
            </w:r>
          </w:p>
        </w:tc>
        <w:tc>
          <w:tcPr>
            <w:tcW w:w="1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5FA82CBD" w14:textId="77777777" w:rsidR="00DB38FD" w:rsidRDefault="00DB29A2" w:rsidP="008E30E5">
            <w:pPr>
              <w:jc w:val="center"/>
            </w:pPr>
            <w:r>
              <w:rPr>
                <w:rFonts w:ascii="Arial" w:eastAsia="Arial" w:hAnsi="Arial" w:cs="Arial"/>
                <w:color w:val="1A1A1A"/>
                <w:sz w:val="15"/>
                <w:szCs w:val="15"/>
              </w:rPr>
              <w:t>2.6%</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51C93F6D" w14:textId="77777777" w:rsidR="00DB38FD" w:rsidRDefault="00DB29A2" w:rsidP="008E30E5">
            <w:pPr>
              <w:jc w:val="center"/>
            </w:pPr>
            <w:r>
              <w:rPr>
                <w:rFonts w:ascii="Arial" w:eastAsia="Arial" w:hAnsi="Arial" w:cs="Arial"/>
                <w:color w:val="1A1A1A"/>
                <w:sz w:val="15"/>
                <w:szCs w:val="15"/>
              </w:rPr>
              <w:t>4.3%</w:t>
            </w:r>
          </w:p>
        </w:tc>
        <w:tc>
          <w:tcPr>
            <w:tcW w:w="15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30932099" w14:textId="77777777" w:rsidR="00DB38FD" w:rsidRDefault="00DB29A2" w:rsidP="008E30E5">
            <w:pPr>
              <w:jc w:val="center"/>
            </w:pPr>
            <w:r>
              <w:rPr>
                <w:rFonts w:ascii="Arial" w:eastAsia="Arial" w:hAnsi="Arial" w:cs="Arial"/>
                <w:color w:val="1A1A1A"/>
                <w:sz w:val="15"/>
                <w:szCs w:val="15"/>
              </w:rPr>
              <w:t>Not available</w:t>
            </w:r>
          </w:p>
        </w:tc>
        <w:tc>
          <w:tcPr>
            <w:tcW w:w="23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17566BEB" w14:textId="77777777" w:rsidR="00DB38FD" w:rsidRDefault="00DB29A2" w:rsidP="008E30E5">
            <w:pPr>
              <w:jc w:val="center"/>
            </w:pPr>
            <w:r>
              <w:rPr>
                <w:rFonts w:ascii="Arial" w:eastAsia="Arial" w:hAnsi="Arial" w:cs="Arial"/>
                <w:b/>
                <w:bCs/>
                <w:color w:val="026AFF"/>
                <w:sz w:val="15"/>
                <w:szCs w:val="15"/>
              </w:rPr>
              <w:t>2.6%</w:t>
            </w:r>
          </w:p>
        </w:tc>
      </w:tr>
    </w:tbl>
    <w:p w14:paraId="0B0DCDD2" w14:textId="591DFEAF" w:rsidR="001704D2" w:rsidRDefault="001704D2" w:rsidP="00E74D88">
      <w:pPr>
        <w:spacing w:after="240"/>
      </w:pPr>
    </w:p>
    <w:p w14:paraId="5C6D265A" w14:textId="78FB475A" w:rsidR="001704D2" w:rsidRDefault="001704D2">
      <w:pPr>
        <w:spacing w:after="110"/>
      </w:pPr>
      <w:r w:rsidRPr="00BB13A3">
        <w:rPr>
          <w:rFonts w:ascii="Arial" w:hAnsi="Arial" w:cs="Arial"/>
          <w:noProof/>
          <w:color w:val="026AFF"/>
          <w:sz w:val="44"/>
          <w:szCs w:val="44"/>
        </w:rPr>
        <mc:AlternateContent>
          <mc:Choice Requires="wps">
            <w:drawing>
              <wp:anchor distT="45720" distB="45720" distL="114300" distR="114300" simplePos="0" relativeHeight="251664384" behindDoc="0" locked="0" layoutInCell="1" allowOverlap="1" wp14:anchorId="4D303D63" wp14:editId="5AED2D5F">
                <wp:simplePos x="0" y="0"/>
                <wp:positionH relativeFrom="margin">
                  <wp:align>left</wp:align>
                </wp:positionH>
                <wp:positionV relativeFrom="paragraph">
                  <wp:posOffset>7620</wp:posOffset>
                </wp:positionV>
                <wp:extent cx="7049135" cy="323850"/>
                <wp:effectExtent l="0" t="0" r="0" b="0"/>
                <wp:wrapNone/>
                <wp:docPr id="4215674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9135" cy="323850"/>
                        </a:xfrm>
                        <a:prstGeom prst="roundRect">
                          <a:avLst/>
                        </a:prstGeom>
                        <a:solidFill>
                          <a:srgbClr val="026AFF"/>
                        </a:solidFill>
                        <a:ln w="9525">
                          <a:noFill/>
                          <a:miter lim="800000"/>
                          <a:headEnd/>
                          <a:tailEnd/>
                        </a:ln>
                      </wps:spPr>
                      <wps:txbx>
                        <w:txbxContent>
                          <w:p w14:paraId="324A6E3C" w14:textId="77777777" w:rsidR="000F43CF" w:rsidRDefault="000F43CF" w:rsidP="000F43CF">
                            <w:pPr>
                              <w:jc w:val="center"/>
                            </w:pPr>
                            <w:r>
                              <w:rPr>
                                <w:rFonts w:ascii="Arial" w:eastAsia="Arial" w:hAnsi="Arial" w:cs="Arial"/>
                                <w:b/>
                                <w:bCs/>
                                <w:color w:val="FFFFFF"/>
                                <w:sz w:val="27"/>
                                <w:szCs w:val="27"/>
                              </w:rPr>
                              <w:t>2027 MLI Select Affordability Rent Increase Reference</w:t>
                            </w:r>
                          </w:p>
                          <w:p w14:paraId="5FEFBA62" w14:textId="77777777" w:rsidR="000F43CF" w:rsidRPr="007F0D96" w:rsidRDefault="000F43CF" w:rsidP="000F43CF">
                            <w:pPr>
                              <w:ind w:left="630" w:right="914"/>
                              <w:jc w:val="center"/>
                              <w:rPr>
                                <w:rFonts w:ascii="Arial" w:hAnsi="Arial" w:cs="Arial"/>
                                <w:b/>
                                <w:bCs/>
                                <w:color w:val="FFFFFF" w:themeColor="background1"/>
                                <w:sz w:val="32"/>
                                <w:szCs w:val="3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D303D63" id="_x0000_s1030" style="position:absolute;margin-left:0;margin-top:.6pt;width:555.05pt;height:25.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" fillcolor="#026aff" stroked="f">
                <v:stroke joinstyle="miter"/>
                <v:textbox>
                  <w:txbxContent>
                    <w:p w14:paraId="324A6E3C" w14:textId="77777777" w:rsidR="000F43CF" w:rsidRDefault="000F43CF" w:rsidP="000F43CF">
                      <w:pPr>
                        <w:jc w:val="center"/>
                      </w:pPr>
                      <w:r>
                        <w:rPr>
                          <w:rFonts w:ascii="Arial" w:eastAsia="Arial" w:hAnsi="Arial" w:cs="Arial"/>
                          <w:b/>
                          <w:bCs/>
                          <w:color w:val="FFFFFF"/>
                          <w:sz w:val="27"/>
                          <w:szCs w:val="27"/>
                        </w:rPr>
                        <w:t>2027 MLI Select Affordability Rent Increase Reference</w:t>
                      </w:r>
                    </w:p>
                    <w:p w14:paraId="5FEFBA62" w14:textId="77777777" w:rsidR="000F43CF" w:rsidRPr="007F0D96" w:rsidRDefault="000F43CF" w:rsidP="000F43CF">
                      <w:pPr>
                        <w:ind w:left="630" w:right="914"/>
                        <w:jc w:val="center"/>
                        <w:rPr>
                          <w:rFonts w:ascii="Arial" w:hAnsi="Arial" w:cs="Arial"/>
                          <w:b/>
                          <w:bCs/>
                          <w:color w:val="FFFFFF" w:themeColor="background1"/>
                          <w:sz w:val="32"/>
                          <w:szCs w:val="32"/>
                        </w:rPr>
                      </w:pPr>
                    </w:p>
                  </w:txbxContent>
                </v:textbox>
                <w10:wrap anchorx="margin"/>
              </v:roundrect>
            </w:pict>
          </mc:Fallback>
        </mc:AlternateContent>
      </w:r>
    </w:p>
    <w:p w14:paraId="4AB5E255" w14:textId="77777777" w:rsidR="001704D2" w:rsidRDefault="001704D2" w:rsidP="00A12541">
      <w:pPr>
        <w:spacing w:after="240"/>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99"/>
        <w:gridCol w:w="3151"/>
        <w:gridCol w:w="2606"/>
        <w:gridCol w:w="2132"/>
      </w:tblGrid>
      <w:tr w:rsidR="00DB38FD" w14:paraId="3F681681" w14:textId="77777777" w:rsidTr="008E30E5">
        <w:trPr>
          <w:trHeight w:val="338"/>
          <w:tblHeader/>
        </w:trPr>
        <w:tc>
          <w:tcPr>
            <w:tcW w:w="2700" w:type="dxa"/>
            <w:tcBorders>
              <w:top w:val="single" w:sz="4" w:space="0" w:color="C9C9C9"/>
              <w:left w:val="single" w:sz="4" w:space="0" w:color="C9C9C9"/>
              <w:bottom w:val="single" w:sz="4" w:space="0" w:color="C9C9C9"/>
              <w:right w:val="single" w:sz="4" w:space="0" w:color="C9C9C9"/>
            </w:tcBorders>
            <w:shd w:val="clear" w:color="auto" w:fill="D4DEE4"/>
            <w:tcMar>
              <w:top w:w="30" w:type="dxa"/>
              <w:left w:w="160" w:type="dxa"/>
              <w:bottom w:w="30" w:type="dxa"/>
              <w:right w:w="160" w:type="dxa"/>
            </w:tcMar>
            <w:vAlign w:val="center"/>
          </w:tcPr>
          <w:p w14:paraId="4B43EB0F" w14:textId="75D6B34E" w:rsidR="00DB38FD" w:rsidRPr="008E30E5" w:rsidRDefault="00DB29A2" w:rsidP="00DD3C11">
            <w:pPr>
              <w:rPr>
                <w:color w:val="000000" w:themeColor="text1"/>
              </w:rPr>
            </w:pPr>
            <w:r w:rsidRPr="008E30E5">
              <w:rPr>
                <w:rFonts w:ascii="Arial" w:eastAsia="Arial" w:hAnsi="Arial" w:cs="Arial"/>
                <w:b/>
                <w:bCs/>
                <w:color w:val="000000" w:themeColor="text1"/>
                <w:sz w:val="15"/>
                <w:szCs w:val="15"/>
              </w:rPr>
              <w:t>Province / Territory</w:t>
            </w:r>
          </w:p>
        </w:tc>
        <w:tc>
          <w:tcPr>
            <w:tcW w:w="2660" w:type="dxa"/>
            <w:tcBorders>
              <w:top w:val="single" w:sz="4" w:space="0" w:color="C9C9C9"/>
              <w:left w:val="single" w:sz="4" w:space="0" w:color="C9C9C9"/>
              <w:bottom w:val="single" w:sz="4" w:space="0" w:color="C9C9C9"/>
              <w:right w:val="single" w:sz="4" w:space="0" w:color="C9C9C9"/>
            </w:tcBorders>
            <w:shd w:val="clear" w:color="auto" w:fill="D4DEE4"/>
            <w:tcMar>
              <w:top w:w="30" w:type="dxa"/>
              <w:left w:w="160" w:type="dxa"/>
              <w:bottom w:w="30" w:type="dxa"/>
              <w:right w:w="160" w:type="dxa"/>
            </w:tcMar>
            <w:vAlign w:val="center"/>
          </w:tcPr>
          <w:p w14:paraId="079D84A8" w14:textId="4E4CE59D" w:rsidR="00DB38FD" w:rsidRPr="008E30E5" w:rsidRDefault="00DB29A2" w:rsidP="008E30E5">
            <w:pPr>
              <w:jc w:val="center"/>
              <w:rPr>
                <w:color w:val="000000" w:themeColor="text1"/>
              </w:rPr>
            </w:pPr>
            <w:r w:rsidRPr="008E30E5">
              <w:rPr>
                <w:rFonts w:ascii="Arial" w:eastAsia="Arial" w:hAnsi="Arial" w:cs="Arial"/>
                <w:b/>
                <w:bCs/>
                <w:color w:val="000000" w:themeColor="text1"/>
                <w:sz w:val="15"/>
                <w:szCs w:val="15"/>
              </w:rPr>
              <w:t>Provincial / Territorial Rate (2027)</w:t>
            </w:r>
          </w:p>
        </w:tc>
        <w:tc>
          <w:tcPr>
            <w:tcW w:w="2200" w:type="dxa"/>
            <w:tcBorders>
              <w:top w:val="single" w:sz="4" w:space="0" w:color="C9C9C9"/>
              <w:left w:val="single" w:sz="4" w:space="0" w:color="C9C9C9"/>
              <w:bottom w:val="single" w:sz="4" w:space="0" w:color="C9C9C9"/>
              <w:right w:val="single" w:sz="4" w:space="0" w:color="C9C9C9"/>
            </w:tcBorders>
            <w:shd w:val="clear" w:color="auto" w:fill="D4DEE4"/>
            <w:tcMar>
              <w:top w:w="30" w:type="dxa"/>
              <w:left w:w="160" w:type="dxa"/>
              <w:bottom w:w="30" w:type="dxa"/>
              <w:right w:w="160" w:type="dxa"/>
            </w:tcMar>
            <w:vAlign w:val="center"/>
          </w:tcPr>
          <w:p w14:paraId="40F6CB37" w14:textId="77777777" w:rsidR="00DB38FD" w:rsidRPr="008E30E5" w:rsidRDefault="00DB29A2" w:rsidP="008E30E5">
            <w:pPr>
              <w:jc w:val="center"/>
              <w:rPr>
                <w:color w:val="000000" w:themeColor="text1"/>
              </w:rPr>
            </w:pPr>
            <w:r w:rsidRPr="008E30E5">
              <w:rPr>
                <w:rFonts w:ascii="Arial" w:eastAsia="Arial" w:hAnsi="Arial" w:cs="Arial"/>
                <w:b/>
                <w:bCs/>
                <w:color w:val="000000" w:themeColor="text1"/>
                <w:sz w:val="15"/>
                <w:szCs w:val="15"/>
              </w:rPr>
              <w:t>CMHC Permitted CPI (2027)</w:t>
            </w:r>
          </w:p>
        </w:tc>
        <w:tc>
          <w:tcPr>
            <w:tcW w:w="1800" w:type="dxa"/>
            <w:tcBorders>
              <w:top w:val="single" w:sz="4" w:space="0" w:color="C9C9C9"/>
              <w:left w:val="single" w:sz="4" w:space="0" w:color="C9C9C9"/>
              <w:bottom w:val="single" w:sz="4" w:space="0" w:color="C9C9C9"/>
              <w:right w:val="single" w:sz="4" w:space="0" w:color="C9C9C9"/>
            </w:tcBorders>
            <w:shd w:val="clear" w:color="auto" w:fill="D4DEE4"/>
            <w:tcMar>
              <w:top w:w="30" w:type="dxa"/>
              <w:left w:w="160" w:type="dxa"/>
              <w:bottom w:w="30" w:type="dxa"/>
              <w:right w:w="160" w:type="dxa"/>
            </w:tcMar>
            <w:vAlign w:val="center"/>
          </w:tcPr>
          <w:p w14:paraId="56DEE0EF" w14:textId="77777777" w:rsidR="00DB38FD" w:rsidRPr="008E30E5" w:rsidRDefault="00DB29A2" w:rsidP="008E30E5">
            <w:pPr>
              <w:jc w:val="center"/>
              <w:rPr>
                <w:color w:val="000000" w:themeColor="text1"/>
              </w:rPr>
            </w:pPr>
            <w:r w:rsidRPr="008E30E5">
              <w:rPr>
                <w:rFonts w:ascii="Arial" w:eastAsia="Arial" w:hAnsi="Arial" w:cs="Arial"/>
                <w:b/>
                <w:bCs/>
                <w:color w:val="000000" w:themeColor="text1"/>
                <w:sz w:val="15"/>
                <w:szCs w:val="15"/>
              </w:rPr>
              <w:t>Applicable Rate (2027)</w:t>
            </w:r>
          </w:p>
        </w:tc>
      </w:tr>
      <w:tr w:rsidR="00DB38FD" w14:paraId="112BF79C" w14:textId="77777777">
        <w:tc>
          <w:tcPr>
            <w:tcW w:w="2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17341900" w14:textId="3E416340" w:rsidR="00DB38FD" w:rsidRDefault="00DB29A2">
            <w:r>
              <w:rPr>
                <w:rFonts w:ascii="Arial" w:eastAsia="Arial" w:hAnsi="Arial" w:cs="Arial"/>
                <w:color w:val="1A1A1A"/>
                <w:sz w:val="15"/>
                <w:szCs w:val="15"/>
              </w:rPr>
              <w:t>Alberta</w:t>
            </w:r>
          </w:p>
        </w:tc>
        <w:tc>
          <w:tcPr>
            <w:tcW w:w="26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44AFC913" w14:textId="77777777" w:rsidR="00DB38FD" w:rsidRDefault="00DB29A2" w:rsidP="008E30E5">
            <w:pPr>
              <w:jc w:val="center"/>
            </w:pPr>
            <w:r>
              <w:rPr>
                <w:rFonts w:ascii="Arial" w:eastAsia="Arial" w:hAnsi="Arial" w:cs="Arial"/>
                <w:color w:val="1A1A1A"/>
                <w:sz w:val="15"/>
                <w:szCs w:val="15"/>
              </w:rPr>
              <w:t>None</w:t>
            </w:r>
          </w:p>
        </w:tc>
        <w:tc>
          <w:tcPr>
            <w:tcW w:w="22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26C1C0F6" w14:textId="77777777" w:rsidR="00DB38FD" w:rsidRDefault="00DB29A2" w:rsidP="008E30E5">
            <w:pPr>
              <w:jc w:val="center"/>
            </w:pPr>
            <w:r>
              <w:rPr>
                <w:rFonts w:ascii="Arial" w:eastAsia="Arial" w:hAnsi="Arial" w:cs="Arial"/>
                <w:color w:val="1A1A1A"/>
                <w:sz w:val="15"/>
                <w:szCs w:val="15"/>
              </w:rPr>
              <w:t>0.1%</w:t>
            </w:r>
          </w:p>
        </w:tc>
        <w:tc>
          <w:tcPr>
            <w:tcW w:w="18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721455C9" w14:textId="77777777" w:rsidR="00DB38FD" w:rsidRDefault="00DB29A2" w:rsidP="008E30E5">
            <w:pPr>
              <w:jc w:val="center"/>
            </w:pPr>
            <w:r>
              <w:rPr>
                <w:rFonts w:ascii="Arial" w:eastAsia="Arial" w:hAnsi="Arial" w:cs="Arial"/>
                <w:b/>
                <w:bCs/>
                <w:color w:val="026AFF"/>
                <w:sz w:val="15"/>
                <w:szCs w:val="15"/>
              </w:rPr>
              <w:t>0.1%</w:t>
            </w:r>
          </w:p>
        </w:tc>
      </w:tr>
      <w:tr w:rsidR="00DB38FD" w14:paraId="2D0FF789" w14:textId="77777777">
        <w:tc>
          <w:tcPr>
            <w:tcW w:w="2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5EC6CB40" w14:textId="77777777" w:rsidR="00DB38FD" w:rsidRDefault="00DB29A2">
            <w:r>
              <w:rPr>
                <w:rFonts w:ascii="Arial" w:eastAsia="Arial" w:hAnsi="Arial" w:cs="Arial"/>
                <w:color w:val="1A1A1A"/>
                <w:sz w:val="15"/>
                <w:szCs w:val="15"/>
              </w:rPr>
              <w:t>British Columbia</w:t>
            </w:r>
          </w:p>
        </w:tc>
        <w:tc>
          <w:tcPr>
            <w:tcW w:w="26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0B703D34" w14:textId="77777777" w:rsidR="00DB38FD" w:rsidRDefault="00DB29A2" w:rsidP="008E30E5">
            <w:pPr>
              <w:jc w:val="center"/>
            </w:pPr>
            <w:r>
              <w:rPr>
                <w:rFonts w:ascii="Arial" w:eastAsia="Arial" w:hAnsi="Arial" w:cs="Arial"/>
                <w:color w:val="1A1A1A"/>
                <w:sz w:val="15"/>
                <w:szCs w:val="15"/>
              </w:rPr>
              <w:t>2.2%</w:t>
            </w:r>
          </w:p>
        </w:tc>
        <w:tc>
          <w:tcPr>
            <w:tcW w:w="22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6BE8BD65" w14:textId="77777777" w:rsidR="00DB38FD" w:rsidRDefault="00DB29A2" w:rsidP="008E30E5">
            <w:pPr>
              <w:jc w:val="center"/>
            </w:pPr>
            <w:r>
              <w:rPr>
                <w:rFonts w:ascii="Arial" w:eastAsia="Arial" w:hAnsi="Arial" w:cs="Arial"/>
                <w:color w:val="1A1A1A"/>
                <w:sz w:val="15"/>
                <w:szCs w:val="15"/>
              </w:rPr>
              <w:t>1.8%</w:t>
            </w:r>
          </w:p>
        </w:tc>
        <w:tc>
          <w:tcPr>
            <w:tcW w:w="18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5AB6ACCC" w14:textId="77777777" w:rsidR="00DB38FD" w:rsidRDefault="00DB29A2" w:rsidP="008E30E5">
            <w:pPr>
              <w:jc w:val="center"/>
            </w:pPr>
            <w:r>
              <w:rPr>
                <w:rFonts w:ascii="Arial" w:eastAsia="Arial" w:hAnsi="Arial" w:cs="Arial"/>
                <w:b/>
                <w:bCs/>
                <w:color w:val="026AFF"/>
                <w:sz w:val="15"/>
                <w:szCs w:val="15"/>
              </w:rPr>
              <w:t>2.2%</w:t>
            </w:r>
          </w:p>
        </w:tc>
      </w:tr>
      <w:tr w:rsidR="00DB38FD" w14:paraId="70AC8182" w14:textId="77777777">
        <w:tc>
          <w:tcPr>
            <w:tcW w:w="2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58980C0C" w14:textId="77777777" w:rsidR="00DB38FD" w:rsidRDefault="00DB29A2">
            <w:r>
              <w:rPr>
                <w:rFonts w:ascii="Arial" w:eastAsia="Arial" w:hAnsi="Arial" w:cs="Arial"/>
                <w:color w:val="1A1A1A"/>
                <w:sz w:val="15"/>
                <w:szCs w:val="15"/>
              </w:rPr>
              <w:t>Manitoba‡</w:t>
            </w:r>
          </w:p>
        </w:tc>
        <w:tc>
          <w:tcPr>
            <w:tcW w:w="26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5C131AEC" w14:textId="77777777" w:rsidR="00DB38FD" w:rsidRDefault="00DB29A2" w:rsidP="008E30E5">
            <w:pPr>
              <w:jc w:val="center"/>
            </w:pPr>
            <w:r>
              <w:rPr>
                <w:rFonts w:ascii="Arial" w:eastAsia="Arial" w:hAnsi="Arial" w:cs="Arial"/>
                <w:color w:val="1A1A1A"/>
                <w:sz w:val="15"/>
                <w:szCs w:val="15"/>
              </w:rPr>
              <w:t>3.0%</w:t>
            </w:r>
          </w:p>
        </w:tc>
        <w:tc>
          <w:tcPr>
            <w:tcW w:w="22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3FCC585" w14:textId="77777777" w:rsidR="00DB38FD" w:rsidRDefault="00DB29A2" w:rsidP="008E30E5">
            <w:pPr>
              <w:jc w:val="center"/>
            </w:pPr>
            <w:r>
              <w:rPr>
                <w:rFonts w:ascii="Arial" w:eastAsia="Arial" w:hAnsi="Arial" w:cs="Arial"/>
                <w:color w:val="1A1A1A"/>
                <w:sz w:val="15"/>
                <w:szCs w:val="15"/>
              </w:rPr>
              <w:t>0.8%</w:t>
            </w:r>
          </w:p>
        </w:tc>
        <w:tc>
          <w:tcPr>
            <w:tcW w:w="18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73326DD5" w14:textId="77777777" w:rsidR="00DB38FD" w:rsidRDefault="00DB29A2" w:rsidP="008E30E5">
            <w:pPr>
              <w:jc w:val="center"/>
            </w:pPr>
            <w:r>
              <w:rPr>
                <w:rFonts w:ascii="Arial" w:eastAsia="Arial" w:hAnsi="Arial" w:cs="Arial"/>
                <w:b/>
                <w:bCs/>
                <w:color w:val="026AFF"/>
                <w:sz w:val="15"/>
                <w:szCs w:val="15"/>
              </w:rPr>
              <w:t>3.0%</w:t>
            </w:r>
          </w:p>
        </w:tc>
      </w:tr>
      <w:tr w:rsidR="00DB38FD" w14:paraId="48E366B9" w14:textId="77777777">
        <w:tc>
          <w:tcPr>
            <w:tcW w:w="2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24F13F41" w14:textId="77777777" w:rsidR="00DB38FD" w:rsidRDefault="00DB29A2">
            <w:r>
              <w:rPr>
                <w:rFonts w:ascii="Arial" w:eastAsia="Arial" w:hAnsi="Arial" w:cs="Arial"/>
                <w:color w:val="1A1A1A"/>
                <w:sz w:val="15"/>
                <w:szCs w:val="15"/>
              </w:rPr>
              <w:t>New Brunswick</w:t>
            </w:r>
          </w:p>
        </w:tc>
        <w:tc>
          <w:tcPr>
            <w:tcW w:w="26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56147129" w14:textId="77777777" w:rsidR="00DB38FD" w:rsidRDefault="00DB29A2" w:rsidP="008E30E5">
            <w:pPr>
              <w:jc w:val="center"/>
            </w:pPr>
            <w:r>
              <w:rPr>
                <w:rFonts w:ascii="Arial" w:eastAsia="Arial" w:hAnsi="Arial" w:cs="Arial"/>
                <w:color w:val="1A1A1A"/>
                <w:sz w:val="15"/>
                <w:szCs w:val="15"/>
              </w:rPr>
              <w:t>3.0%</w:t>
            </w:r>
          </w:p>
        </w:tc>
        <w:tc>
          <w:tcPr>
            <w:tcW w:w="22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694615D9" w14:textId="77777777" w:rsidR="00DB38FD" w:rsidRDefault="00DB29A2" w:rsidP="008E30E5">
            <w:pPr>
              <w:jc w:val="center"/>
            </w:pPr>
            <w:r>
              <w:rPr>
                <w:rFonts w:ascii="Arial" w:eastAsia="Arial" w:hAnsi="Arial" w:cs="Arial"/>
                <w:color w:val="1A1A1A"/>
                <w:sz w:val="15"/>
                <w:szCs w:val="15"/>
              </w:rPr>
              <w:t>2.4%</w:t>
            </w:r>
          </w:p>
        </w:tc>
        <w:tc>
          <w:tcPr>
            <w:tcW w:w="18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40C10B83" w14:textId="77777777" w:rsidR="00DB38FD" w:rsidRDefault="00DB29A2" w:rsidP="008E30E5">
            <w:pPr>
              <w:jc w:val="center"/>
            </w:pPr>
            <w:r>
              <w:rPr>
                <w:rFonts w:ascii="Arial" w:eastAsia="Arial" w:hAnsi="Arial" w:cs="Arial"/>
                <w:b/>
                <w:bCs/>
                <w:color w:val="026AFF"/>
                <w:sz w:val="15"/>
                <w:szCs w:val="15"/>
              </w:rPr>
              <w:t>3.0%</w:t>
            </w:r>
          </w:p>
        </w:tc>
      </w:tr>
      <w:tr w:rsidR="00DB38FD" w14:paraId="29925873" w14:textId="77777777">
        <w:tc>
          <w:tcPr>
            <w:tcW w:w="2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56E8A1A5" w14:textId="77777777" w:rsidR="00DB38FD" w:rsidRDefault="00DB29A2">
            <w:r>
              <w:rPr>
                <w:rFonts w:ascii="Arial" w:eastAsia="Arial" w:hAnsi="Arial" w:cs="Arial"/>
                <w:color w:val="1A1A1A"/>
                <w:sz w:val="15"/>
                <w:szCs w:val="15"/>
              </w:rPr>
              <w:t>Newfoundland and Labrador</w:t>
            </w:r>
          </w:p>
        </w:tc>
        <w:tc>
          <w:tcPr>
            <w:tcW w:w="26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358E19FF" w14:textId="77777777" w:rsidR="00DB38FD" w:rsidRDefault="00DB29A2" w:rsidP="008E30E5">
            <w:pPr>
              <w:jc w:val="center"/>
            </w:pPr>
            <w:r>
              <w:rPr>
                <w:rFonts w:ascii="Arial" w:eastAsia="Arial" w:hAnsi="Arial" w:cs="Arial"/>
                <w:color w:val="1A1A1A"/>
                <w:sz w:val="15"/>
                <w:szCs w:val="15"/>
              </w:rPr>
              <w:t>None</w:t>
            </w:r>
          </w:p>
        </w:tc>
        <w:tc>
          <w:tcPr>
            <w:tcW w:w="22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27882A6C" w14:textId="77777777" w:rsidR="00DB38FD" w:rsidRDefault="00DB29A2" w:rsidP="008E30E5">
            <w:pPr>
              <w:jc w:val="center"/>
            </w:pPr>
            <w:r>
              <w:rPr>
                <w:rFonts w:ascii="Arial" w:eastAsia="Arial" w:hAnsi="Arial" w:cs="Arial"/>
                <w:color w:val="1A1A1A"/>
                <w:sz w:val="15"/>
                <w:szCs w:val="15"/>
              </w:rPr>
              <w:t>1.3%</w:t>
            </w:r>
          </w:p>
        </w:tc>
        <w:tc>
          <w:tcPr>
            <w:tcW w:w="18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2DD04275" w14:textId="77777777" w:rsidR="00DB38FD" w:rsidRDefault="00DB29A2" w:rsidP="008E30E5">
            <w:pPr>
              <w:jc w:val="center"/>
            </w:pPr>
            <w:r>
              <w:rPr>
                <w:rFonts w:ascii="Arial" w:eastAsia="Arial" w:hAnsi="Arial" w:cs="Arial"/>
                <w:b/>
                <w:bCs/>
                <w:color w:val="026AFF"/>
                <w:sz w:val="15"/>
                <w:szCs w:val="15"/>
              </w:rPr>
              <w:t>1.3%</w:t>
            </w:r>
          </w:p>
        </w:tc>
      </w:tr>
      <w:tr w:rsidR="00DB38FD" w14:paraId="2AFCE53B" w14:textId="77777777">
        <w:tc>
          <w:tcPr>
            <w:tcW w:w="2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6E57F45D" w14:textId="77777777" w:rsidR="00DB38FD" w:rsidRDefault="00DB29A2">
            <w:r>
              <w:rPr>
                <w:rFonts w:ascii="Arial" w:eastAsia="Arial" w:hAnsi="Arial" w:cs="Arial"/>
                <w:color w:val="1A1A1A"/>
                <w:sz w:val="15"/>
                <w:szCs w:val="15"/>
              </w:rPr>
              <w:t>Nova Scotia</w:t>
            </w:r>
          </w:p>
        </w:tc>
        <w:tc>
          <w:tcPr>
            <w:tcW w:w="26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3F4683A7" w14:textId="77777777" w:rsidR="00DB38FD" w:rsidRDefault="00DB29A2" w:rsidP="008E30E5">
            <w:pPr>
              <w:jc w:val="center"/>
            </w:pPr>
            <w:r>
              <w:rPr>
                <w:rFonts w:ascii="Arial" w:eastAsia="Arial" w:hAnsi="Arial" w:cs="Arial"/>
                <w:color w:val="1A1A1A"/>
                <w:sz w:val="15"/>
                <w:szCs w:val="15"/>
              </w:rPr>
              <w:t>5.0%</w:t>
            </w:r>
          </w:p>
        </w:tc>
        <w:tc>
          <w:tcPr>
            <w:tcW w:w="22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0F357EDA" w14:textId="77777777" w:rsidR="00DB38FD" w:rsidRDefault="00DB29A2" w:rsidP="008E30E5">
            <w:pPr>
              <w:jc w:val="center"/>
            </w:pPr>
            <w:r>
              <w:rPr>
                <w:rFonts w:ascii="Arial" w:eastAsia="Arial" w:hAnsi="Arial" w:cs="Arial"/>
                <w:color w:val="1A1A1A"/>
                <w:sz w:val="15"/>
                <w:szCs w:val="15"/>
              </w:rPr>
              <w:t>4.9%</w:t>
            </w:r>
          </w:p>
        </w:tc>
        <w:tc>
          <w:tcPr>
            <w:tcW w:w="18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12503B3A" w14:textId="77777777" w:rsidR="00DB38FD" w:rsidRDefault="00DB29A2" w:rsidP="008E30E5">
            <w:pPr>
              <w:jc w:val="center"/>
            </w:pPr>
            <w:r>
              <w:rPr>
                <w:rFonts w:ascii="Arial" w:eastAsia="Arial" w:hAnsi="Arial" w:cs="Arial"/>
                <w:b/>
                <w:bCs/>
                <w:color w:val="026AFF"/>
                <w:sz w:val="15"/>
                <w:szCs w:val="15"/>
              </w:rPr>
              <w:t>5.0%</w:t>
            </w:r>
          </w:p>
        </w:tc>
      </w:tr>
      <w:tr w:rsidR="00DB38FD" w14:paraId="68344B88" w14:textId="77777777">
        <w:tc>
          <w:tcPr>
            <w:tcW w:w="2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42F2D503" w14:textId="77777777" w:rsidR="00DB38FD" w:rsidRDefault="00DB29A2">
            <w:r>
              <w:rPr>
                <w:rFonts w:ascii="Arial" w:eastAsia="Arial" w:hAnsi="Arial" w:cs="Arial"/>
                <w:color w:val="1A1A1A"/>
                <w:sz w:val="15"/>
                <w:szCs w:val="15"/>
              </w:rPr>
              <w:t>Ontario (built pre-Nov 15, 2018)</w:t>
            </w:r>
          </w:p>
        </w:tc>
        <w:tc>
          <w:tcPr>
            <w:tcW w:w="26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78E29FFD" w14:textId="77777777" w:rsidR="00DB38FD" w:rsidRDefault="00DB29A2" w:rsidP="008E30E5">
            <w:pPr>
              <w:jc w:val="center"/>
            </w:pPr>
            <w:r>
              <w:rPr>
                <w:rFonts w:ascii="Arial" w:eastAsia="Arial" w:hAnsi="Arial" w:cs="Arial"/>
                <w:color w:val="1A1A1A"/>
                <w:sz w:val="15"/>
                <w:szCs w:val="15"/>
              </w:rPr>
              <w:t>1.9%</w:t>
            </w:r>
          </w:p>
        </w:tc>
        <w:tc>
          <w:tcPr>
            <w:tcW w:w="22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2920AD30" w14:textId="77777777" w:rsidR="00DB38FD" w:rsidRDefault="00DB29A2" w:rsidP="008E30E5">
            <w:pPr>
              <w:jc w:val="center"/>
            </w:pPr>
            <w:r>
              <w:rPr>
                <w:rFonts w:ascii="Arial" w:eastAsia="Arial" w:hAnsi="Arial" w:cs="Arial"/>
                <w:color w:val="1A1A1A"/>
                <w:sz w:val="15"/>
                <w:szCs w:val="15"/>
              </w:rPr>
              <w:t>0.7%</w:t>
            </w:r>
          </w:p>
        </w:tc>
        <w:tc>
          <w:tcPr>
            <w:tcW w:w="18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5A0E313" w14:textId="77777777" w:rsidR="00DB38FD" w:rsidRDefault="00DB29A2" w:rsidP="008E30E5">
            <w:pPr>
              <w:jc w:val="center"/>
            </w:pPr>
            <w:r>
              <w:rPr>
                <w:rFonts w:ascii="Arial" w:eastAsia="Arial" w:hAnsi="Arial" w:cs="Arial"/>
                <w:b/>
                <w:bCs/>
                <w:color w:val="026AFF"/>
                <w:sz w:val="15"/>
                <w:szCs w:val="15"/>
              </w:rPr>
              <w:t>1.9%</w:t>
            </w:r>
          </w:p>
        </w:tc>
      </w:tr>
      <w:tr w:rsidR="00DB38FD" w14:paraId="4D9A00B5" w14:textId="77777777">
        <w:tc>
          <w:tcPr>
            <w:tcW w:w="2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3942955F" w14:textId="77777777" w:rsidR="00DB38FD" w:rsidRDefault="00DB29A2">
            <w:r>
              <w:rPr>
                <w:rFonts w:ascii="Arial" w:eastAsia="Arial" w:hAnsi="Arial" w:cs="Arial"/>
                <w:color w:val="1A1A1A"/>
                <w:sz w:val="15"/>
                <w:szCs w:val="15"/>
              </w:rPr>
              <w:t>Ontario (built post-Nov 15, 2018)†</w:t>
            </w:r>
          </w:p>
        </w:tc>
        <w:tc>
          <w:tcPr>
            <w:tcW w:w="26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4A6925BE" w14:textId="77777777" w:rsidR="00DB38FD" w:rsidRDefault="00DB29A2" w:rsidP="008E30E5">
            <w:pPr>
              <w:jc w:val="center"/>
            </w:pPr>
            <w:r>
              <w:rPr>
                <w:rFonts w:ascii="Arial" w:eastAsia="Arial" w:hAnsi="Arial" w:cs="Arial"/>
                <w:color w:val="1A1A1A"/>
                <w:sz w:val="15"/>
                <w:szCs w:val="15"/>
              </w:rPr>
              <w:t>Exempt</w:t>
            </w:r>
          </w:p>
        </w:tc>
        <w:tc>
          <w:tcPr>
            <w:tcW w:w="22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3ED9C7C2" w14:textId="77777777" w:rsidR="00DB38FD" w:rsidRDefault="00DB29A2" w:rsidP="008E30E5">
            <w:pPr>
              <w:jc w:val="center"/>
            </w:pPr>
            <w:r>
              <w:rPr>
                <w:rFonts w:ascii="Arial" w:eastAsia="Arial" w:hAnsi="Arial" w:cs="Arial"/>
                <w:color w:val="1A1A1A"/>
                <w:sz w:val="15"/>
                <w:szCs w:val="15"/>
              </w:rPr>
              <w:t>0.7%</w:t>
            </w:r>
          </w:p>
        </w:tc>
        <w:tc>
          <w:tcPr>
            <w:tcW w:w="18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43D1403B" w14:textId="77777777" w:rsidR="00DB38FD" w:rsidRDefault="00DB29A2" w:rsidP="008E30E5">
            <w:pPr>
              <w:jc w:val="center"/>
            </w:pPr>
            <w:r>
              <w:rPr>
                <w:rFonts w:ascii="Arial" w:eastAsia="Arial" w:hAnsi="Arial" w:cs="Arial"/>
                <w:b/>
                <w:bCs/>
                <w:color w:val="026AFF"/>
                <w:sz w:val="15"/>
                <w:szCs w:val="15"/>
              </w:rPr>
              <w:t>0.7%</w:t>
            </w:r>
          </w:p>
        </w:tc>
      </w:tr>
      <w:tr w:rsidR="00DB38FD" w14:paraId="47ED919C" w14:textId="77777777">
        <w:tc>
          <w:tcPr>
            <w:tcW w:w="2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281A0176" w14:textId="77777777" w:rsidR="00DB38FD" w:rsidRDefault="00DB29A2">
            <w:r>
              <w:rPr>
                <w:rFonts w:ascii="Arial" w:eastAsia="Arial" w:hAnsi="Arial" w:cs="Arial"/>
                <w:color w:val="1A1A1A"/>
                <w:sz w:val="15"/>
                <w:szCs w:val="15"/>
              </w:rPr>
              <w:t>Prince Edward Island</w:t>
            </w:r>
          </w:p>
        </w:tc>
        <w:tc>
          <w:tcPr>
            <w:tcW w:w="26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08B6E051" w14:textId="77777777" w:rsidR="00DB38FD" w:rsidRDefault="00DB29A2" w:rsidP="008E30E5">
            <w:pPr>
              <w:jc w:val="center"/>
            </w:pPr>
            <w:r>
              <w:rPr>
                <w:rFonts w:ascii="Arial" w:eastAsia="Arial" w:hAnsi="Arial" w:cs="Arial"/>
                <w:color w:val="1A1A1A"/>
                <w:sz w:val="15"/>
                <w:szCs w:val="15"/>
              </w:rPr>
              <w:t>2.1%</w:t>
            </w:r>
          </w:p>
        </w:tc>
        <w:tc>
          <w:tcPr>
            <w:tcW w:w="22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AC82BBC" w14:textId="77777777" w:rsidR="00DB38FD" w:rsidRDefault="00DB29A2" w:rsidP="008E30E5">
            <w:pPr>
              <w:jc w:val="center"/>
            </w:pPr>
            <w:r>
              <w:rPr>
                <w:rFonts w:ascii="Arial" w:eastAsia="Arial" w:hAnsi="Arial" w:cs="Arial"/>
                <w:color w:val="1A1A1A"/>
                <w:sz w:val="15"/>
                <w:szCs w:val="15"/>
              </w:rPr>
              <w:t>0.2%</w:t>
            </w:r>
          </w:p>
        </w:tc>
        <w:tc>
          <w:tcPr>
            <w:tcW w:w="18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1C42C0DD" w14:textId="77777777" w:rsidR="00DB38FD" w:rsidRDefault="00DB29A2" w:rsidP="008E30E5">
            <w:pPr>
              <w:jc w:val="center"/>
            </w:pPr>
            <w:r>
              <w:rPr>
                <w:rFonts w:ascii="Arial" w:eastAsia="Arial" w:hAnsi="Arial" w:cs="Arial"/>
                <w:b/>
                <w:bCs/>
                <w:color w:val="026AFF"/>
                <w:sz w:val="15"/>
                <w:szCs w:val="15"/>
              </w:rPr>
              <w:t>2.1%</w:t>
            </w:r>
          </w:p>
        </w:tc>
      </w:tr>
      <w:tr w:rsidR="00DB38FD" w14:paraId="5E5AFE9C" w14:textId="77777777">
        <w:tc>
          <w:tcPr>
            <w:tcW w:w="2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7FF7F7C4" w14:textId="77777777" w:rsidR="00DB38FD" w:rsidRDefault="00DB29A2">
            <w:r>
              <w:rPr>
                <w:rFonts w:ascii="Arial" w:eastAsia="Arial" w:hAnsi="Arial" w:cs="Arial"/>
                <w:color w:val="1A1A1A"/>
                <w:sz w:val="15"/>
                <w:szCs w:val="15"/>
              </w:rPr>
              <w:t>Quebec</w:t>
            </w:r>
          </w:p>
        </w:tc>
        <w:tc>
          <w:tcPr>
            <w:tcW w:w="26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66E92232" w14:textId="77777777" w:rsidR="00DB38FD" w:rsidRDefault="00DB29A2" w:rsidP="008E30E5">
            <w:pPr>
              <w:jc w:val="center"/>
            </w:pPr>
            <w:r>
              <w:rPr>
                <w:rFonts w:ascii="Arial" w:eastAsia="Arial" w:hAnsi="Arial" w:cs="Arial"/>
                <w:color w:val="1A1A1A"/>
                <w:sz w:val="15"/>
                <w:szCs w:val="15"/>
              </w:rPr>
              <w:t>TAL* Decision</w:t>
            </w:r>
          </w:p>
        </w:tc>
        <w:tc>
          <w:tcPr>
            <w:tcW w:w="22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18D1CC15" w14:textId="77777777" w:rsidR="00DB38FD" w:rsidRDefault="00DB29A2" w:rsidP="008E30E5">
            <w:pPr>
              <w:jc w:val="center"/>
            </w:pPr>
            <w:r>
              <w:rPr>
                <w:rFonts w:ascii="Arial" w:eastAsia="Arial" w:hAnsi="Arial" w:cs="Arial"/>
                <w:color w:val="1A1A1A"/>
                <w:sz w:val="15"/>
                <w:szCs w:val="15"/>
              </w:rPr>
              <w:t>3.0%</w:t>
            </w:r>
          </w:p>
        </w:tc>
        <w:tc>
          <w:tcPr>
            <w:tcW w:w="18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438EF508" w14:textId="77777777" w:rsidR="00DB38FD" w:rsidRDefault="00DB29A2" w:rsidP="008E30E5">
            <w:pPr>
              <w:jc w:val="center"/>
            </w:pPr>
            <w:r>
              <w:rPr>
                <w:rFonts w:ascii="Arial" w:eastAsia="Arial" w:hAnsi="Arial" w:cs="Arial"/>
                <w:b/>
                <w:bCs/>
                <w:color w:val="026AFF"/>
                <w:sz w:val="15"/>
                <w:szCs w:val="15"/>
              </w:rPr>
              <w:t>TAL* Decision or 3.0%</w:t>
            </w:r>
          </w:p>
        </w:tc>
      </w:tr>
      <w:tr w:rsidR="00DB38FD" w14:paraId="4BE127CD" w14:textId="77777777">
        <w:tc>
          <w:tcPr>
            <w:tcW w:w="2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63E6842E" w14:textId="77777777" w:rsidR="00DB38FD" w:rsidRDefault="00DB29A2">
            <w:r>
              <w:rPr>
                <w:rFonts w:ascii="Arial" w:eastAsia="Arial" w:hAnsi="Arial" w:cs="Arial"/>
                <w:color w:val="1A1A1A"/>
                <w:sz w:val="15"/>
                <w:szCs w:val="15"/>
              </w:rPr>
              <w:t>Saskatchewan</w:t>
            </w:r>
          </w:p>
        </w:tc>
        <w:tc>
          <w:tcPr>
            <w:tcW w:w="26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1D69CCED" w14:textId="77777777" w:rsidR="00DB38FD" w:rsidRDefault="00DB29A2" w:rsidP="008E30E5">
            <w:pPr>
              <w:jc w:val="center"/>
            </w:pPr>
            <w:r>
              <w:rPr>
                <w:rFonts w:ascii="Arial" w:eastAsia="Arial" w:hAnsi="Arial" w:cs="Arial"/>
                <w:color w:val="1A1A1A"/>
                <w:sz w:val="15"/>
                <w:szCs w:val="15"/>
              </w:rPr>
              <w:t>None</w:t>
            </w:r>
          </w:p>
        </w:tc>
        <w:tc>
          <w:tcPr>
            <w:tcW w:w="22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7EE76F5E" w14:textId="77777777" w:rsidR="00DB38FD" w:rsidRDefault="00DB29A2" w:rsidP="008E30E5">
            <w:pPr>
              <w:jc w:val="center"/>
            </w:pPr>
            <w:r>
              <w:rPr>
                <w:rFonts w:ascii="Arial" w:eastAsia="Arial" w:hAnsi="Arial" w:cs="Arial"/>
                <w:color w:val="1A1A1A"/>
                <w:sz w:val="15"/>
                <w:szCs w:val="15"/>
              </w:rPr>
              <w:t>1.8%</w:t>
            </w:r>
          </w:p>
        </w:tc>
        <w:tc>
          <w:tcPr>
            <w:tcW w:w="18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0FA87019" w14:textId="77777777" w:rsidR="00DB38FD" w:rsidRDefault="00DB29A2" w:rsidP="008E30E5">
            <w:pPr>
              <w:jc w:val="center"/>
            </w:pPr>
            <w:r>
              <w:rPr>
                <w:rFonts w:ascii="Arial" w:eastAsia="Arial" w:hAnsi="Arial" w:cs="Arial"/>
                <w:b/>
                <w:bCs/>
                <w:color w:val="026AFF"/>
                <w:sz w:val="15"/>
                <w:szCs w:val="15"/>
              </w:rPr>
              <w:t>1.8%</w:t>
            </w:r>
          </w:p>
        </w:tc>
      </w:tr>
      <w:tr w:rsidR="00DB38FD" w14:paraId="0A5242D9" w14:textId="77777777">
        <w:tc>
          <w:tcPr>
            <w:tcW w:w="2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17C0D092" w14:textId="77777777" w:rsidR="00DB38FD" w:rsidRDefault="00DB29A2">
            <w:r>
              <w:rPr>
                <w:rFonts w:ascii="Arial" w:eastAsia="Arial" w:hAnsi="Arial" w:cs="Arial"/>
                <w:color w:val="1A1A1A"/>
                <w:sz w:val="15"/>
                <w:szCs w:val="15"/>
              </w:rPr>
              <w:t>Northwest Territories</w:t>
            </w:r>
          </w:p>
        </w:tc>
        <w:tc>
          <w:tcPr>
            <w:tcW w:w="26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5B0E367F" w14:textId="77777777" w:rsidR="00DB38FD" w:rsidRDefault="00DB29A2" w:rsidP="008E30E5">
            <w:pPr>
              <w:jc w:val="center"/>
            </w:pPr>
            <w:r>
              <w:rPr>
                <w:rFonts w:ascii="Arial" w:eastAsia="Arial" w:hAnsi="Arial" w:cs="Arial"/>
                <w:color w:val="1A1A1A"/>
                <w:sz w:val="15"/>
                <w:szCs w:val="15"/>
              </w:rPr>
              <w:t>None</w:t>
            </w:r>
          </w:p>
        </w:tc>
        <w:tc>
          <w:tcPr>
            <w:tcW w:w="22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4B4D8E96" w14:textId="77777777" w:rsidR="00DB38FD" w:rsidRDefault="00DB29A2" w:rsidP="008E30E5">
            <w:pPr>
              <w:jc w:val="center"/>
            </w:pPr>
            <w:r>
              <w:rPr>
                <w:rFonts w:ascii="Arial" w:eastAsia="Arial" w:hAnsi="Arial" w:cs="Arial"/>
                <w:color w:val="1A1A1A"/>
                <w:sz w:val="15"/>
                <w:szCs w:val="15"/>
              </w:rPr>
              <w:t>2.4%</w:t>
            </w:r>
          </w:p>
        </w:tc>
        <w:tc>
          <w:tcPr>
            <w:tcW w:w="18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7963F245" w14:textId="77777777" w:rsidR="00DB38FD" w:rsidRDefault="00DB29A2" w:rsidP="008E30E5">
            <w:pPr>
              <w:jc w:val="center"/>
            </w:pPr>
            <w:r>
              <w:rPr>
                <w:rFonts w:ascii="Arial" w:eastAsia="Arial" w:hAnsi="Arial" w:cs="Arial"/>
                <w:b/>
                <w:bCs/>
                <w:color w:val="026AFF"/>
                <w:sz w:val="15"/>
                <w:szCs w:val="15"/>
              </w:rPr>
              <w:t>2.4%</w:t>
            </w:r>
          </w:p>
        </w:tc>
      </w:tr>
      <w:tr w:rsidR="00DB38FD" w14:paraId="25BA8AEC" w14:textId="77777777">
        <w:tc>
          <w:tcPr>
            <w:tcW w:w="27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10DB2307" w14:textId="77777777" w:rsidR="00DB38FD" w:rsidRDefault="00DB29A2">
            <w:r>
              <w:rPr>
                <w:rFonts w:ascii="Arial" w:eastAsia="Arial" w:hAnsi="Arial" w:cs="Arial"/>
                <w:color w:val="1A1A1A"/>
                <w:sz w:val="15"/>
                <w:szCs w:val="15"/>
              </w:rPr>
              <w:t>Nunavut</w:t>
            </w:r>
          </w:p>
        </w:tc>
        <w:tc>
          <w:tcPr>
            <w:tcW w:w="266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41DB6CC1" w14:textId="77777777" w:rsidR="00DB38FD" w:rsidRDefault="00DB29A2" w:rsidP="008E30E5">
            <w:pPr>
              <w:jc w:val="center"/>
            </w:pPr>
            <w:r>
              <w:rPr>
                <w:rFonts w:ascii="Arial" w:eastAsia="Arial" w:hAnsi="Arial" w:cs="Arial"/>
                <w:color w:val="1A1A1A"/>
                <w:sz w:val="15"/>
                <w:szCs w:val="15"/>
              </w:rPr>
              <w:t>None</w:t>
            </w:r>
          </w:p>
        </w:tc>
        <w:tc>
          <w:tcPr>
            <w:tcW w:w="22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19E7FE35" w14:textId="77777777" w:rsidR="00DB38FD" w:rsidRDefault="00DB29A2" w:rsidP="008E30E5">
            <w:pPr>
              <w:jc w:val="center"/>
            </w:pPr>
            <w:r>
              <w:rPr>
                <w:rFonts w:ascii="Arial" w:eastAsia="Arial" w:hAnsi="Arial" w:cs="Arial"/>
                <w:color w:val="1A1A1A"/>
                <w:sz w:val="15"/>
                <w:szCs w:val="15"/>
              </w:rPr>
              <w:t>2.4%</w:t>
            </w:r>
          </w:p>
        </w:tc>
        <w:tc>
          <w:tcPr>
            <w:tcW w:w="1800" w:type="dxa"/>
            <w:tcBorders>
              <w:top w:val="single" w:sz="4" w:space="0" w:color="C9C9C9"/>
              <w:left w:val="single" w:sz="4" w:space="0" w:color="C9C9C9"/>
              <w:bottom w:val="single" w:sz="4" w:space="0" w:color="C9C9C9"/>
              <w:right w:val="single" w:sz="4" w:space="0" w:color="C9C9C9"/>
            </w:tcBorders>
            <w:shd w:val="clear" w:color="auto" w:fill="F2F2F2"/>
            <w:tcMar>
              <w:top w:w="24" w:type="dxa"/>
              <w:left w:w="160" w:type="dxa"/>
              <w:bottom w:w="24" w:type="dxa"/>
              <w:right w:w="160" w:type="dxa"/>
            </w:tcMar>
          </w:tcPr>
          <w:p w14:paraId="741005C7" w14:textId="77777777" w:rsidR="00DB38FD" w:rsidRDefault="00DB29A2" w:rsidP="008E30E5">
            <w:pPr>
              <w:jc w:val="center"/>
            </w:pPr>
            <w:r>
              <w:rPr>
                <w:rFonts w:ascii="Arial" w:eastAsia="Arial" w:hAnsi="Arial" w:cs="Arial"/>
                <w:b/>
                <w:bCs/>
                <w:color w:val="026AFF"/>
                <w:sz w:val="15"/>
                <w:szCs w:val="15"/>
              </w:rPr>
              <w:t>2.4%</w:t>
            </w:r>
          </w:p>
        </w:tc>
      </w:tr>
      <w:tr w:rsidR="00DB38FD" w14:paraId="7FE13F96" w14:textId="77777777">
        <w:tc>
          <w:tcPr>
            <w:tcW w:w="27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00703B4E" w14:textId="77777777" w:rsidR="00DB38FD" w:rsidRDefault="00DB29A2">
            <w:r>
              <w:rPr>
                <w:rFonts w:ascii="Arial" w:eastAsia="Arial" w:hAnsi="Arial" w:cs="Arial"/>
                <w:color w:val="1A1A1A"/>
                <w:sz w:val="15"/>
                <w:szCs w:val="15"/>
              </w:rPr>
              <w:t>Yukon</w:t>
            </w:r>
          </w:p>
        </w:tc>
        <w:tc>
          <w:tcPr>
            <w:tcW w:w="266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6C9FE252" w14:textId="77777777" w:rsidR="00DB38FD" w:rsidRDefault="00DB29A2" w:rsidP="008E30E5">
            <w:pPr>
              <w:jc w:val="center"/>
            </w:pPr>
            <w:r>
              <w:rPr>
                <w:rFonts w:ascii="Arial" w:eastAsia="Arial" w:hAnsi="Arial" w:cs="Arial"/>
                <w:color w:val="1A1A1A"/>
                <w:sz w:val="15"/>
                <w:szCs w:val="15"/>
              </w:rPr>
              <w:t>2.6%</w:t>
            </w:r>
          </w:p>
        </w:tc>
        <w:tc>
          <w:tcPr>
            <w:tcW w:w="22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4CBA4C77" w14:textId="77777777" w:rsidR="00DB38FD" w:rsidRDefault="00DB29A2" w:rsidP="008E30E5">
            <w:pPr>
              <w:jc w:val="center"/>
            </w:pPr>
            <w:r>
              <w:rPr>
                <w:rFonts w:ascii="Arial" w:eastAsia="Arial" w:hAnsi="Arial" w:cs="Arial"/>
                <w:color w:val="1A1A1A"/>
                <w:sz w:val="15"/>
                <w:szCs w:val="15"/>
              </w:rPr>
              <w:t>2.4%</w:t>
            </w:r>
          </w:p>
        </w:tc>
        <w:tc>
          <w:tcPr>
            <w:tcW w:w="1800" w:type="dxa"/>
            <w:tcBorders>
              <w:top w:val="single" w:sz="4" w:space="0" w:color="C9C9C9"/>
              <w:left w:val="single" w:sz="4" w:space="0" w:color="C9C9C9"/>
              <w:bottom w:val="single" w:sz="4" w:space="0" w:color="C9C9C9"/>
              <w:right w:val="single" w:sz="4" w:space="0" w:color="C9C9C9"/>
            </w:tcBorders>
            <w:shd w:val="clear" w:color="auto" w:fill="FFFFFF"/>
            <w:tcMar>
              <w:top w:w="24" w:type="dxa"/>
              <w:left w:w="160" w:type="dxa"/>
              <w:bottom w:w="24" w:type="dxa"/>
              <w:right w:w="160" w:type="dxa"/>
            </w:tcMar>
          </w:tcPr>
          <w:p w14:paraId="22144D2B" w14:textId="77777777" w:rsidR="00DB38FD" w:rsidRDefault="00DB29A2" w:rsidP="008E30E5">
            <w:pPr>
              <w:jc w:val="center"/>
            </w:pPr>
            <w:r>
              <w:rPr>
                <w:rFonts w:ascii="Arial" w:eastAsia="Arial" w:hAnsi="Arial" w:cs="Arial"/>
                <w:b/>
                <w:bCs/>
                <w:color w:val="026AFF"/>
                <w:sz w:val="15"/>
                <w:szCs w:val="15"/>
              </w:rPr>
              <w:t>2.6%</w:t>
            </w:r>
          </w:p>
        </w:tc>
      </w:tr>
    </w:tbl>
    <w:p w14:paraId="7F515CF1" w14:textId="77777777" w:rsidR="00DB38FD" w:rsidRDefault="00DB38FD">
      <w:pPr>
        <w:spacing w:after="90"/>
      </w:pPr>
    </w:p>
    <w:p w14:paraId="6F6788B4" w14:textId="77777777" w:rsidR="00DB38FD" w:rsidRDefault="00DB29A2">
      <w:pPr>
        <w:spacing w:after="30"/>
      </w:pPr>
      <w:r>
        <w:rPr>
          <w:rFonts w:ascii="Arial" w:eastAsia="Arial" w:hAnsi="Arial" w:cs="Arial"/>
          <w:i/>
          <w:iCs/>
          <w:color w:val="7A7D82"/>
          <w:sz w:val="14"/>
          <w:szCs w:val="14"/>
        </w:rPr>
        <w:t xml:space="preserve">* TAL refers to the Tribunal </w:t>
      </w:r>
      <w:proofErr w:type="spellStart"/>
      <w:r>
        <w:rPr>
          <w:rFonts w:ascii="Arial" w:eastAsia="Arial" w:hAnsi="Arial" w:cs="Arial"/>
          <w:i/>
          <w:iCs/>
          <w:color w:val="7A7D82"/>
          <w:sz w:val="14"/>
          <w:szCs w:val="14"/>
        </w:rPr>
        <w:t>administratif</w:t>
      </w:r>
      <w:proofErr w:type="spellEnd"/>
      <w:r>
        <w:rPr>
          <w:rFonts w:ascii="Arial" w:eastAsia="Arial" w:hAnsi="Arial" w:cs="Arial"/>
          <w:i/>
          <w:iCs/>
          <w:color w:val="7A7D82"/>
          <w:sz w:val="14"/>
          <w:szCs w:val="14"/>
        </w:rPr>
        <w:t xml:space="preserve"> du </w:t>
      </w:r>
      <w:proofErr w:type="spellStart"/>
      <w:r>
        <w:rPr>
          <w:rFonts w:ascii="Arial" w:eastAsia="Arial" w:hAnsi="Arial" w:cs="Arial"/>
          <w:i/>
          <w:iCs/>
          <w:color w:val="7A7D82"/>
          <w:sz w:val="14"/>
          <w:szCs w:val="14"/>
        </w:rPr>
        <w:t>logement</w:t>
      </w:r>
      <w:proofErr w:type="spellEnd"/>
      <w:r>
        <w:rPr>
          <w:rFonts w:ascii="Arial" w:eastAsia="Arial" w:hAnsi="Arial" w:cs="Arial"/>
          <w:i/>
          <w:iCs/>
          <w:color w:val="7A7D82"/>
          <w:sz w:val="14"/>
          <w:szCs w:val="14"/>
        </w:rPr>
        <w:t>, Quebec's residential tenancy board, which rules on rent increases where no fixed percentage applies.</w:t>
      </w:r>
    </w:p>
    <w:p w14:paraId="71F444AB" w14:textId="77777777" w:rsidR="00DB38FD" w:rsidRDefault="00DB29A2">
      <w:pPr>
        <w:spacing w:after="30"/>
      </w:pPr>
      <w:r>
        <w:rPr>
          <w:rFonts w:ascii="Arial" w:eastAsia="Arial" w:hAnsi="Arial" w:cs="Arial"/>
          <w:i/>
          <w:iCs/>
          <w:color w:val="7A7D82"/>
          <w:sz w:val="14"/>
          <w:szCs w:val="14"/>
        </w:rPr>
        <w:t>† Ontario: the guideline rate applies only to buildings first occupied for residential purposes on or before November 15, 2018. Buildings first occupied after that date are exempt from the guideline and follow the CPI-based rate instead.</w:t>
      </w:r>
    </w:p>
    <w:p w14:paraId="2543C478" w14:textId="467EE35C" w:rsidR="000F43CF" w:rsidRDefault="00DB29A2">
      <w:pPr>
        <w:spacing w:after="160"/>
        <w:rPr>
          <w:rFonts w:ascii="Arial" w:eastAsia="Arial" w:hAnsi="Arial" w:cs="Arial"/>
          <w:i/>
          <w:iCs/>
          <w:color w:val="7A7D82"/>
          <w:sz w:val="14"/>
          <w:szCs w:val="14"/>
        </w:rPr>
      </w:pPr>
      <w:r>
        <w:rPr>
          <w:rFonts w:ascii="Arial" w:eastAsia="Arial" w:hAnsi="Arial" w:cs="Arial"/>
          <w:i/>
          <w:iCs/>
          <w:color w:val="7A7D82"/>
          <w:sz w:val="14"/>
          <w:szCs w:val="14"/>
        </w:rPr>
        <w:t>‡ Manitoba: the guideline does not apply to units renting at $2,000/month or more (2027) and $1,670/month or more (2026), or to units in buildings first occupied after March 2005 — that exclusion lasts 20 years from first occupancy, so older post-2005 buildings may now be back under the guideline. CMHC's Permitted CPI applies where excluded.</w:t>
      </w:r>
    </w:p>
    <w:p w14:paraId="1029D1BD" w14:textId="77777777" w:rsidR="00E74D88" w:rsidRDefault="00E74D88" w:rsidP="00E43386">
      <w:pPr>
        <w:spacing w:after="70"/>
        <w:rPr>
          <w:rFonts w:ascii="Arial" w:eastAsia="Arial" w:hAnsi="Arial" w:cs="Arial"/>
          <w:color w:val="7A7D82"/>
          <w:sz w:val="14"/>
          <w:szCs w:val="14"/>
        </w:rPr>
      </w:pPr>
    </w:p>
    <w:p w14:paraId="1DA4CB3F" w14:textId="77777777" w:rsidR="000F43CF" w:rsidRDefault="000F43CF">
      <w:pPr>
        <w:spacing w:after="70"/>
        <w:jc w:val="center"/>
        <w:rPr>
          <w:rFonts w:ascii="Arial" w:eastAsia="Arial" w:hAnsi="Arial" w:cs="Arial"/>
          <w:color w:val="7A7D82"/>
          <w:sz w:val="14"/>
          <w:szCs w:val="14"/>
        </w:rPr>
      </w:pPr>
    </w:p>
    <w:p w14:paraId="69B185BF" w14:textId="680EDF98" w:rsidR="00DB38FD" w:rsidRDefault="00DB29A2">
      <w:pPr>
        <w:spacing w:after="70"/>
        <w:jc w:val="center"/>
      </w:pPr>
      <w:r>
        <w:rPr>
          <w:rFonts w:ascii="Arial" w:eastAsia="Arial" w:hAnsi="Arial" w:cs="Arial"/>
          <w:color w:val="7A7D82"/>
          <w:sz w:val="14"/>
          <w:szCs w:val="14"/>
        </w:rPr>
        <w:t>Primary sources: CMHC Advice No. 270 (February 12, 2026), CMHC's published MLI Select Permitted CPI percentages, and official provincial or territorial residential tenancy and rent increase guidance. Rates supplied for the 2026 and 2027 reference tables.</w:t>
      </w:r>
    </w:p>
    <w:p w14:paraId="5A64D5EA" w14:textId="38A21E84" w:rsidR="00DB38FD" w:rsidRDefault="00E43386">
      <w:pPr>
        <w:jc w:val="center"/>
      </w:pPr>
      <w:r>
        <w:rPr>
          <w:rFonts w:ascii="Arial" w:eastAsia="Arial" w:hAnsi="Arial" w:cs="Arial"/>
          <w:color w:val="7A7D82"/>
          <w:sz w:val="14"/>
          <w:szCs w:val="14"/>
        </w:rPr>
        <w:t xml:space="preserve"> </w:t>
      </w:r>
    </w:p>
    <w:sectPr w:rsidR="00DB38FD" w:rsidSect="0076784B">
      <w:footerReference w:type="default" r:id="rId7"/>
      <w:pgSz w:w="12240" w:h="15840"/>
      <w:pgMar w:top="576" w:right="576" w:bottom="576" w:left="576" w:header="708" w:footer="70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F767A" w14:textId="77777777" w:rsidR="001B4D51" w:rsidRDefault="001B4D51">
      <w:r>
        <w:separator/>
      </w:r>
    </w:p>
  </w:endnote>
  <w:endnote w:type="continuationSeparator" w:id="0">
    <w:p w14:paraId="13128FF9" w14:textId="77777777" w:rsidR="001B4D51" w:rsidRDefault="001B4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44"/>
      <w:gridCol w:w="5544"/>
    </w:tblGrid>
    <w:tr w:rsidR="00DB38FD" w14:paraId="4CACFB4C" w14:textId="77777777">
      <w:tc>
        <w:tcPr>
          <w:tcW w:w="5544" w:type="dxa"/>
          <w:tcBorders>
            <w:top w:val="none" w:sz="0" w:space="0" w:color="FFFFFF"/>
            <w:left w:val="none" w:sz="0" w:space="0" w:color="FFFFFF"/>
            <w:bottom w:val="none" w:sz="0" w:space="0" w:color="FFFFFF"/>
            <w:right w:val="none" w:sz="0" w:space="0" w:color="FFFFFF"/>
          </w:tcBorders>
          <w:tcMar>
            <w:top w:w="120" w:type="dxa"/>
            <w:left w:w="160" w:type="dxa"/>
            <w:bottom w:w="120" w:type="dxa"/>
            <w:right w:w="160" w:type="dxa"/>
          </w:tcMar>
        </w:tcPr>
        <w:p w14:paraId="4755DEC5" w14:textId="66B81449" w:rsidR="00DB38FD" w:rsidRDefault="00E74D88">
          <w:r>
            <w:rPr>
              <w:noProof/>
            </w:rPr>
            <w:drawing>
              <wp:anchor distT="0" distB="0" distL="114300" distR="114300" simplePos="0" relativeHeight="251658240" behindDoc="0" locked="0" layoutInCell="1" allowOverlap="1" wp14:anchorId="27030E7D" wp14:editId="381DCBDF">
                <wp:simplePos x="0" y="0"/>
                <wp:positionH relativeFrom="column">
                  <wp:posOffset>-104238</wp:posOffset>
                </wp:positionH>
                <wp:positionV relativeFrom="paragraph">
                  <wp:posOffset>69068</wp:posOffset>
                </wp:positionV>
                <wp:extent cx="523875" cy="228600"/>
                <wp:effectExtent l="0" t="0" r="9525" b="0"/>
                <wp:wrapNone/>
                <wp:docPr id="242610889" name="Picture 242610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228600"/>
                        </a:xfrm>
                        <a:prstGeom prst="rect">
                          <a:avLst/>
                        </a:prstGeom>
                      </pic:spPr>
                    </pic:pic>
                  </a:graphicData>
                </a:graphic>
              </wp:anchor>
            </w:drawing>
          </w:r>
        </w:p>
      </w:tc>
      <w:tc>
        <w:tcPr>
          <w:tcW w:w="5544" w:type="dxa"/>
          <w:tcBorders>
            <w:top w:val="none" w:sz="0" w:space="0" w:color="FFFFFF"/>
            <w:left w:val="none" w:sz="0" w:space="0" w:color="FFFFFF"/>
            <w:bottom w:val="none" w:sz="0" w:space="0" w:color="FFFFFF"/>
            <w:right w:val="none" w:sz="0" w:space="0" w:color="FFFFFF"/>
          </w:tcBorders>
          <w:tcMar>
            <w:top w:w="120" w:type="dxa"/>
            <w:left w:w="160" w:type="dxa"/>
            <w:bottom w:w="120" w:type="dxa"/>
            <w:right w:w="160" w:type="dxa"/>
          </w:tcMar>
        </w:tcPr>
        <w:p w14:paraId="445003C2" w14:textId="77777777" w:rsidR="00DB38FD" w:rsidRDefault="00DB29A2">
          <w:pPr>
            <w:jc w:val="right"/>
          </w:pPr>
          <w:r>
            <w:rPr>
              <w:rFonts w:ascii="Arial" w:eastAsia="Arial" w:hAnsi="Arial" w:cs="Arial"/>
              <w:color w:val="7A7D82"/>
              <w:sz w:val="16"/>
              <w:szCs w:val="16"/>
            </w:rPr>
            <w:fldChar w:fldCharType="begin"/>
          </w:r>
          <w:r>
            <w:rPr>
              <w:rFonts w:ascii="Arial" w:eastAsia="Arial" w:hAnsi="Arial" w:cs="Arial"/>
              <w:color w:val="7A7D82"/>
              <w:sz w:val="16"/>
              <w:szCs w:val="16"/>
            </w:rPr>
            <w:instrText>PAGE</w:instrText>
          </w:r>
          <w:r>
            <w:rPr>
              <w:rFonts w:ascii="Arial" w:eastAsia="Arial" w:hAnsi="Arial" w:cs="Arial"/>
              <w:color w:val="7A7D82"/>
              <w:sz w:val="16"/>
              <w:szCs w:val="16"/>
            </w:rPr>
            <w:fldChar w:fldCharType="separate"/>
          </w:r>
          <w:r w:rsidR="00014C5A">
            <w:rPr>
              <w:rFonts w:ascii="Arial" w:eastAsia="Arial" w:hAnsi="Arial" w:cs="Arial"/>
              <w:noProof/>
              <w:color w:val="7A7D82"/>
              <w:sz w:val="16"/>
              <w:szCs w:val="16"/>
            </w:rPr>
            <w:t>1</w:t>
          </w:r>
          <w:r>
            <w:rPr>
              <w:rFonts w:ascii="Arial" w:eastAsia="Arial" w:hAnsi="Arial" w:cs="Arial"/>
              <w:color w:val="7A7D82"/>
              <w:sz w:val="16"/>
              <w:szCs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4F7E0" w14:textId="77777777" w:rsidR="001B4D51" w:rsidRDefault="001B4D51">
      <w:r>
        <w:separator/>
      </w:r>
    </w:p>
  </w:footnote>
  <w:footnote w:type="continuationSeparator" w:id="0">
    <w:p w14:paraId="736E5510" w14:textId="77777777" w:rsidR="001B4D51" w:rsidRDefault="001B4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D7E47"/>
    <w:multiLevelType w:val="hybridMultilevel"/>
    <w:tmpl w:val="E41A46D6"/>
    <w:lvl w:ilvl="0" w:tplc="083C3F7E">
      <w:start w:val="1"/>
      <w:numFmt w:val="bullet"/>
      <w:lvlText w:val="●"/>
      <w:lvlJc w:val="left"/>
      <w:pPr>
        <w:ind w:left="720" w:hanging="360"/>
      </w:pPr>
    </w:lvl>
    <w:lvl w:ilvl="1" w:tplc="581E0D54">
      <w:start w:val="1"/>
      <w:numFmt w:val="bullet"/>
      <w:lvlText w:val="○"/>
      <w:lvlJc w:val="left"/>
      <w:pPr>
        <w:ind w:left="1440" w:hanging="360"/>
      </w:pPr>
    </w:lvl>
    <w:lvl w:ilvl="2" w:tplc="9454D47A">
      <w:start w:val="1"/>
      <w:numFmt w:val="bullet"/>
      <w:lvlText w:val="■"/>
      <w:lvlJc w:val="left"/>
      <w:pPr>
        <w:ind w:left="2160" w:hanging="360"/>
      </w:pPr>
    </w:lvl>
    <w:lvl w:ilvl="3" w:tplc="E528C72A">
      <w:start w:val="1"/>
      <w:numFmt w:val="bullet"/>
      <w:lvlText w:val="●"/>
      <w:lvlJc w:val="left"/>
      <w:pPr>
        <w:ind w:left="2880" w:hanging="360"/>
      </w:pPr>
    </w:lvl>
    <w:lvl w:ilvl="4" w:tplc="2F52C790">
      <w:start w:val="1"/>
      <w:numFmt w:val="bullet"/>
      <w:lvlText w:val="○"/>
      <w:lvlJc w:val="left"/>
      <w:pPr>
        <w:ind w:left="3600" w:hanging="360"/>
      </w:pPr>
    </w:lvl>
    <w:lvl w:ilvl="5" w:tplc="9B4C3A76">
      <w:start w:val="1"/>
      <w:numFmt w:val="bullet"/>
      <w:lvlText w:val="■"/>
      <w:lvlJc w:val="left"/>
      <w:pPr>
        <w:ind w:left="4320" w:hanging="360"/>
      </w:pPr>
    </w:lvl>
    <w:lvl w:ilvl="6" w:tplc="283A9A7E">
      <w:start w:val="1"/>
      <w:numFmt w:val="bullet"/>
      <w:lvlText w:val="●"/>
      <w:lvlJc w:val="left"/>
      <w:pPr>
        <w:ind w:left="5040" w:hanging="360"/>
      </w:pPr>
    </w:lvl>
    <w:lvl w:ilvl="7" w:tplc="68D632F2">
      <w:start w:val="1"/>
      <w:numFmt w:val="bullet"/>
      <w:lvlText w:val="●"/>
      <w:lvlJc w:val="left"/>
      <w:pPr>
        <w:ind w:left="5760" w:hanging="360"/>
      </w:pPr>
    </w:lvl>
    <w:lvl w:ilvl="8" w:tplc="F8683F5C">
      <w:start w:val="1"/>
      <w:numFmt w:val="bullet"/>
      <w:lvlText w:val="●"/>
      <w:lvlJc w:val="left"/>
      <w:pPr>
        <w:ind w:left="6480" w:hanging="360"/>
      </w:pPr>
    </w:lvl>
  </w:abstractNum>
  <w:num w:numId="1" w16cid:durableId="15340718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8FD"/>
    <w:rsid w:val="00014C5A"/>
    <w:rsid w:val="00015ABC"/>
    <w:rsid w:val="000329E8"/>
    <w:rsid w:val="000F43CF"/>
    <w:rsid w:val="001704D2"/>
    <w:rsid w:val="001B4D51"/>
    <w:rsid w:val="00361049"/>
    <w:rsid w:val="004769A2"/>
    <w:rsid w:val="005F6753"/>
    <w:rsid w:val="006E59D3"/>
    <w:rsid w:val="00763AB8"/>
    <w:rsid w:val="0076784B"/>
    <w:rsid w:val="00775738"/>
    <w:rsid w:val="008D3037"/>
    <w:rsid w:val="008E30E5"/>
    <w:rsid w:val="0092015C"/>
    <w:rsid w:val="00993422"/>
    <w:rsid w:val="00A12541"/>
    <w:rsid w:val="00AA1F01"/>
    <w:rsid w:val="00B621F9"/>
    <w:rsid w:val="00C9636D"/>
    <w:rsid w:val="00CD49BE"/>
    <w:rsid w:val="00D31245"/>
    <w:rsid w:val="00DA469A"/>
    <w:rsid w:val="00DB29A2"/>
    <w:rsid w:val="00DB38FD"/>
    <w:rsid w:val="00DD3C11"/>
    <w:rsid w:val="00DD7B6E"/>
    <w:rsid w:val="00E20944"/>
    <w:rsid w:val="00E43386"/>
    <w:rsid w:val="00E74D88"/>
    <w:rsid w:val="00EB1DCA"/>
    <w:rsid w:val="00EE0CF7"/>
    <w:rsid w:val="00F06FE3"/>
    <w:rsid w:val="00F30F0C"/>
    <w:rsid w:val="00FA593A"/>
    <w:rsid w:val="00FE1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0E5BD"/>
  <w15:docId w15:val="{A4C7C064-FF56-42A7-8006-D23C86407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74D88"/>
    <w:pPr>
      <w:tabs>
        <w:tab w:val="center" w:pos="4680"/>
        <w:tab w:val="right" w:pos="9360"/>
      </w:tabs>
    </w:pPr>
  </w:style>
  <w:style w:type="character" w:customStyle="1" w:styleId="HeaderChar">
    <w:name w:val="Header Char"/>
    <w:basedOn w:val="DefaultParagraphFont"/>
    <w:link w:val="Header"/>
    <w:uiPriority w:val="99"/>
    <w:rsid w:val="00E74D88"/>
  </w:style>
  <w:style w:type="paragraph" w:styleId="Footer">
    <w:name w:val="footer"/>
    <w:basedOn w:val="Normal"/>
    <w:link w:val="FooterChar"/>
    <w:uiPriority w:val="99"/>
    <w:unhideWhenUsed/>
    <w:rsid w:val="00E74D88"/>
    <w:pPr>
      <w:tabs>
        <w:tab w:val="center" w:pos="4680"/>
        <w:tab w:val="right" w:pos="9360"/>
      </w:tabs>
    </w:pPr>
  </w:style>
  <w:style w:type="character" w:customStyle="1" w:styleId="FooterChar">
    <w:name w:val="Footer Char"/>
    <w:basedOn w:val="DefaultParagraphFont"/>
    <w:link w:val="Footer"/>
    <w:uiPriority w:val="99"/>
    <w:rsid w:val="00E74D88"/>
  </w:style>
  <w:style w:type="paragraph" w:styleId="NoSpacing">
    <w:name w:val="No Spacing"/>
    <w:link w:val="NoSpacingChar"/>
    <w:uiPriority w:val="1"/>
    <w:qFormat/>
    <w:rsid w:val="0076784B"/>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76784B"/>
    <w:rPr>
      <w:rFonts w:asciiTheme="minorHAnsi" w:eastAsiaTheme="minorEastAsia" w:hAnsiTheme="minorHAnsi" w:cstheme="minorBidi"/>
      <w:sz w:val="22"/>
      <w:szCs w:val="22"/>
    </w:rPr>
  </w:style>
  <w:style w:type="paragraph" w:styleId="NormalWeb">
    <w:name w:val="Normal (Web)"/>
    <w:basedOn w:val="Normal"/>
    <w:uiPriority w:val="99"/>
    <w:unhideWhenUsed/>
    <w:rsid w:val="0076784B"/>
    <w:pPr>
      <w:spacing w:before="100" w:beforeAutospacing="1" w:after="100" w:afterAutospacing="1"/>
    </w:pPr>
    <w:rPr>
      <w:sz w:val="24"/>
      <w:szCs w:val="24"/>
      <w:lang w:val="en-CA" w:eastAsia="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1949</Characters>
  <Application>Microsoft Office Word</Application>
  <DocSecurity>0</DocSecurity>
  <Lines>97</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Katie Chang</cp:lastModifiedBy>
  <cp:revision>3</cp:revision>
  <dcterms:created xsi:type="dcterms:W3CDTF">2026-10-15T16:01:00Z</dcterms:created>
  <dcterms:modified xsi:type="dcterms:W3CDTF">2026-10-15T16:02:00Z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597757-257c-444e-a033-6b4031aecc7b_Enabled">
    <vt:lpwstr>true</vt:lpwstr>
  </property>
  <property fmtid="{D5CDD505-2E9C-101B-9397-08002B2CF9AE}" pid="3" name="MSIP_Label_cf597757-257c-444e-a033-6b4031aecc7b_SetDate">
    <vt:lpwstr>2026-10-14T16:22:56Z</vt:lpwstr>
  </property>
  <property fmtid="{D5CDD505-2E9C-101B-9397-08002B2CF9AE}" pid="4" name="MSIP_Label_cf597757-257c-444e-a033-6b4031aecc7b_Method">
    <vt:lpwstr>Standard</vt:lpwstr>
  </property>
  <property fmtid="{D5CDD505-2E9C-101B-9397-08002B2CF9AE}" pid="5" name="MSIP_Label_cf597757-257c-444e-a033-6b4031aecc7b_Name">
    <vt:lpwstr>defa4170-0d19-0005-0004-bc88714345d2</vt:lpwstr>
  </property>
  <property fmtid="{D5CDD505-2E9C-101B-9397-08002B2CF9AE}" pid="6" name="MSIP_Label_cf597757-257c-444e-a033-6b4031aecc7b_SiteId">
    <vt:lpwstr>5975e449-ac32-41a0-bedd-993b9c352147</vt:lpwstr>
  </property>
  <property fmtid="{D5CDD505-2E9C-101B-9397-08002B2CF9AE}" pid="7" name="MSIP_Label_cf597757-257c-444e-a033-6b4031aecc7b_ActionId">
    <vt:lpwstr>2d37f64a-40a5-4bc3-ab44-38ffe24bc7e6</vt:lpwstr>
  </property>
  <property fmtid="{D5CDD505-2E9C-101B-9397-08002B2CF9AE}" pid="8" name="MSIP_Label_cf597757-257c-444e-a033-6b4031aecc7b_ContentBits">
    <vt:lpwstr>0</vt:lpwstr>
  </property>
  <property fmtid="{D5CDD505-2E9C-101B-9397-08002B2CF9AE}" pid="9" name="MSIP_Label_cf597757-257c-444e-a033-6b4031aecc7b_Tag">
    <vt:lpwstr>10, 3, 0, 1</vt:lpwstr>
  </property>
</Properties>
</file>