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DD06" w14:textId="17359BE5" w:rsidR="000A5206" w:rsidRDefault="000A5206" w:rsidP="000A5206">
      <w:pPr>
        <w:rPr>
          <w:rFonts w:asciiTheme="majorHAnsi" w:hAnsiTheme="majorHAnsi" w:cstheme="majorHAnsi"/>
          <w:sz w:val="23"/>
          <w:szCs w:val="23"/>
        </w:rPr>
      </w:pPr>
      <w:bookmarkStart w:id="0" w:name="_GoBack"/>
      <w:bookmarkEnd w:id="0"/>
    </w:p>
    <w:p w14:paraId="7EAA711C" w14:textId="383CAC45" w:rsidR="006E0E70" w:rsidRPr="006F6D4E" w:rsidRDefault="006E0E70" w:rsidP="000A5206">
      <w:pPr>
        <w:rPr>
          <w:rFonts w:ascii="Arial" w:hAnsi="Arial" w:cs="Arial"/>
          <w:b/>
          <w:bCs/>
          <w:color w:val="1B467C"/>
          <w:sz w:val="23"/>
          <w:szCs w:val="23"/>
        </w:rPr>
      </w:pPr>
      <w:r w:rsidRPr="006F6D4E">
        <w:rPr>
          <w:rFonts w:ascii="Arial" w:hAnsi="Arial" w:cs="Arial"/>
          <w:b/>
          <w:bCs/>
          <w:color w:val="1B467C"/>
          <w:sz w:val="23"/>
          <w:szCs w:val="23"/>
        </w:rPr>
        <w:t>Step 1: “Letter of Interest”</w:t>
      </w:r>
    </w:p>
    <w:p w14:paraId="0AA9AFE8" w14:textId="10ED0C7E" w:rsidR="006E0E70" w:rsidRPr="00334B35" w:rsidRDefault="006E0E70" w:rsidP="000A5206">
      <w:pPr>
        <w:rPr>
          <w:rFonts w:ascii="Arial" w:hAnsi="Arial" w:cs="Arial"/>
          <w:sz w:val="23"/>
          <w:szCs w:val="23"/>
        </w:rPr>
      </w:pPr>
      <w:r w:rsidRPr="00334B35">
        <w:rPr>
          <w:rFonts w:ascii="Arial" w:hAnsi="Arial" w:cs="Arial"/>
          <w:sz w:val="23"/>
          <w:szCs w:val="23"/>
        </w:rPr>
        <w:t xml:space="preserve">To obtain an “LOI” from CMLS, provide the following to your CMLS SLG contact: </w:t>
      </w:r>
    </w:p>
    <w:p w14:paraId="3D5FA413" w14:textId="77777777" w:rsidR="006E0E70" w:rsidRPr="00334B35" w:rsidRDefault="006E0E70" w:rsidP="006E0E70">
      <w:pPr>
        <w:numPr>
          <w:ilvl w:val="0"/>
          <w:numId w:val="1"/>
        </w:numPr>
        <w:spacing w:before="120" w:after="0" w:line="240" w:lineRule="auto"/>
        <w:jc w:val="both"/>
        <w:rPr>
          <w:rFonts w:ascii="Arial" w:hAnsi="Arial" w:cs="Arial"/>
        </w:rPr>
      </w:pPr>
      <w:r w:rsidRPr="00334B35">
        <w:rPr>
          <w:rFonts w:ascii="Arial" w:hAnsi="Arial" w:cs="Arial"/>
        </w:rPr>
        <w:t>Completed and Signed personal net worth statements on a CMLS Financial provided statement, this full document must be completed</w:t>
      </w:r>
    </w:p>
    <w:p w14:paraId="0803BD9F" w14:textId="77777777" w:rsidR="006E0E70" w:rsidRPr="00334B35" w:rsidRDefault="006E0E70" w:rsidP="006E0E70">
      <w:pPr>
        <w:numPr>
          <w:ilvl w:val="0"/>
          <w:numId w:val="1"/>
        </w:numPr>
        <w:spacing w:before="120" w:after="0" w:line="240" w:lineRule="auto"/>
        <w:jc w:val="both"/>
        <w:rPr>
          <w:rFonts w:ascii="Arial" w:hAnsi="Arial" w:cs="Arial"/>
        </w:rPr>
      </w:pPr>
      <w:r w:rsidRPr="00334B35">
        <w:rPr>
          <w:rFonts w:ascii="Arial" w:hAnsi="Arial" w:cs="Arial"/>
        </w:rPr>
        <w:t xml:space="preserve">CMLS Application </w:t>
      </w:r>
    </w:p>
    <w:p w14:paraId="765552EB" w14:textId="77777777" w:rsidR="006E0E70" w:rsidRPr="00334B35" w:rsidRDefault="006E0E70" w:rsidP="006E0E70">
      <w:pPr>
        <w:numPr>
          <w:ilvl w:val="0"/>
          <w:numId w:val="1"/>
        </w:numPr>
        <w:spacing w:before="120" w:after="0" w:line="240" w:lineRule="auto"/>
        <w:jc w:val="both"/>
        <w:rPr>
          <w:rFonts w:ascii="Arial" w:hAnsi="Arial" w:cs="Arial"/>
        </w:rPr>
      </w:pPr>
      <w:r w:rsidRPr="00334B35">
        <w:rPr>
          <w:rFonts w:ascii="Arial" w:hAnsi="Arial" w:cs="Arial"/>
        </w:rPr>
        <w:t>Current rental agreements for the subject property with rent effective dates.</w:t>
      </w:r>
    </w:p>
    <w:p w14:paraId="4359A5AB" w14:textId="77777777" w:rsidR="006E0E70" w:rsidRPr="00334B35" w:rsidRDefault="006E0E70" w:rsidP="006E0E70">
      <w:pPr>
        <w:numPr>
          <w:ilvl w:val="0"/>
          <w:numId w:val="1"/>
        </w:numPr>
        <w:spacing w:before="120" w:after="0" w:line="240" w:lineRule="auto"/>
        <w:jc w:val="both"/>
        <w:rPr>
          <w:rFonts w:ascii="Arial" w:hAnsi="Arial" w:cs="Arial"/>
        </w:rPr>
      </w:pPr>
      <w:r w:rsidRPr="00334B35">
        <w:rPr>
          <w:rFonts w:ascii="Arial" w:hAnsi="Arial" w:cs="Arial"/>
        </w:rPr>
        <w:t>Minimum two years of completed financial statements for the subject property, including a current up-to-date detailed financial statement for the subject property</w:t>
      </w:r>
    </w:p>
    <w:p w14:paraId="17030C3E" w14:textId="0D203BC1" w:rsidR="006E0E70" w:rsidRPr="00334B35" w:rsidRDefault="006E0E70" w:rsidP="000A5206">
      <w:pPr>
        <w:rPr>
          <w:rFonts w:ascii="Arial" w:hAnsi="Arial" w:cs="Arial"/>
          <w:sz w:val="23"/>
          <w:szCs w:val="23"/>
        </w:rPr>
      </w:pPr>
    </w:p>
    <w:p w14:paraId="28A10B25" w14:textId="4E54C9BC" w:rsidR="006E0E70" w:rsidRPr="006F6D4E" w:rsidRDefault="006E0E70" w:rsidP="000A5206">
      <w:pPr>
        <w:rPr>
          <w:rFonts w:ascii="Arial" w:hAnsi="Arial" w:cs="Arial"/>
          <w:b/>
          <w:bCs/>
          <w:color w:val="1B467C"/>
          <w:sz w:val="23"/>
          <w:szCs w:val="23"/>
        </w:rPr>
      </w:pPr>
      <w:r w:rsidRPr="006F6D4E">
        <w:rPr>
          <w:rFonts w:ascii="Arial" w:hAnsi="Arial" w:cs="Arial"/>
          <w:b/>
          <w:bCs/>
          <w:color w:val="1B467C"/>
          <w:sz w:val="23"/>
          <w:szCs w:val="23"/>
        </w:rPr>
        <w:t>Step 2: Submission to CMHC</w:t>
      </w:r>
    </w:p>
    <w:p w14:paraId="27150809" w14:textId="4B84945E" w:rsidR="006E0E70" w:rsidRPr="00334B35" w:rsidRDefault="006E0E70" w:rsidP="000A5206">
      <w:pPr>
        <w:rPr>
          <w:rFonts w:ascii="Arial" w:hAnsi="Arial" w:cs="Arial"/>
          <w:sz w:val="23"/>
          <w:szCs w:val="23"/>
        </w:rPr>
      </w:pPr>
      <w:r w:rsidRPr="00334B35">
        <w:rPr>
          <w:rFonts w:ascii="Arial" w:hAnsi="Arial" w:cs="Arial"/>
          <w:sz w:val="23"/>
          <w:szCs w:val="23"/>
        </w:rPr>
        <w:t xml:space="preserve">Make Good Faith deposit to CMLS, send application fee to CMHC and provide the following: </w:t>
      </w:r>
    </w:p>
    <w:p w14:paraId="341C3A19" w14:textId="77777777" w:rsidR="000A5206" w:rsidRPr="008307A9" w:rsidRDefault="000A5206" w:rsidP="000A5206">
      <w:pPr>
        <w:outlineLvl w:val="0"/>
        <w:rPr>
          <w:rFonts w:ascii="Arial" w:hAnsi="Arial" w:cs="Arial"/>
          <w:b/>
          <w:bCs/>
        </w:rPr>
      </w:pPr>
      <w:r w:rsidRPr="008307A9">
        <w:rPr>
          <w:rFonts w:ascii="Arial" w:hAnsi="Arial" w:cs="Arial"/>
          <w:b/>
          <w:bCs/>
        </w:rPr>
        <w:t>For Individual Borrowers and/or Guarantors:</w:t>
      </w:r>
    </w:p>
    <w:p w14:paraId="6C6A00EC" w14:textId="0724D96E"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 xml:space="preserve">Copy of the previous year’s income tax return, including Schedule A. </w:t>
      </w:r>
    </w:p>
    <w:p w14:paraId="21A26A33" w14:textId="77777777" w:rsidR="000A5206" w:rsidRPr="00334B35" w:rsidRDefault="000A5206" w:rsidP="000A5206">
      <w:pPr>
        <w:spacing w:before="120" w:after="0" w:line="240" w:lineRule="auto"/>
        <w:ind w:left="720"/>
        <w:jc w:val="both"/>
        <w:rPr>
          <w:rFonts w:ascii="Arial" w:hAnsi="Arial" w:cs="Arial"/>
        </w:rPr>
      </w:pPr>
    </w:p>
    <w:p w14:paraId="39B2594B" w14:textId="77777777" w:rsidR="000A5206" w:rsidRPr="008307A9" w:rsidRDefault="000A5206" w:rsidP="000A5206">
      <w:pPr>
        <w:outlineLvl w:val="0"/>
        <w:rPr>
          <w:rFonts w:ascii="Arial" w:hAnsi="Arial" w:cs="Arial"/>
          <w:b/>
          <w:bCs/>
        </w:rPr>
      </w:pPr>
      <w:r w:rsidRPr="008307A9">
        <w:rPr>
          <w:rFonts w:ascii="Arial" w:hAnsi="Arial" w:cs="Arial"/>
          <w:b/>
          <w:bCs/>
        </w:rPr>
        <w:t>For Incorporated Borrowers and/or Guarantors:</w:t>
      </w:r>
    </w:p>
    <w:p w14:paraId="0A1859F5" w14:textId="77777777"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Financial Statement for the past two years, including the most recent year-end.</w:t>
      </w:r>
    </w:p>
    <w:p w14:paraId="633FB8F6" w14:textId="6ED0D9B3"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Completion of Mortgage Loan Information Statement indicating the type of structure (i.e. sole proprietorship, limited company, partnership, etc.), the ownership of the entity (including percentage ownership), key individuals, their responsibilities and reporting relationships.  For complex Borrowers, provide an organization chart describing the relationship with associated entities.</w:t>
      </w:r>
    </w:p>
    <w:p w14:paraId="5D3CAA8D" w14:textId="7F305517"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 xml:space="preserve">CMLS Application </w:t>
      </w:r>
    </w:p>
    <w:p w14:paraId="7C3D4744" w14:textId="77777777" w:rsidR="000A5206" w:rsidRPr="00334B35" w:rsidRDefault="000A5206" w:rsidP="000A5206">
      <w:pPr>
        <w:spacing w:before="120" w:after="0" w:line="240" w:lineRule="auto"/>
        <w:ind w:left="720"/>
        <w:jc w:val="both"/>
        <w:rPr>
          <w:rFonts w:ascii="Arial" w:hAnsi="Arial" w:cs="Arial"/>
        </w:rPr>
      </w:pPr>
    </w:p>
    <w:p w14:paraId="1EA78E9C" w14:textId="77777777" w:rsidR="000A5206" w:rsidRPr="008307A9" w:rsidRDefault="000A5206" w:rsidP="000A5206">
      <w:pPr>
        <w:jc w:val="both"/>
        <w:outlineLvl w:val="0"/>
        <w:rPr>
          <w:rFonts w:ascii="Arial" w:hAnsi="Arial" w:cs="Arial"/>
          <w:b/>
          <w:bCs/>
        </w:rPr>
      </w:pPr>
      <w:r w:rsidRPr="008307A9">
        <w:rPr>
          <w:rFonts w:ascii="Arial" w:hAnsi="Arial" w:cs="Arial"/>
          <w:b/>
          <w:bCs/>
        </w:rPr>
        <w:t>Property Information:</w:t>
      </w:r>
    </w:p>
    <w:p w14:paraId="41A0EE03" w14:textId="77777777"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 xml:space="preserve">Copies of property taxes, insurance and utilities invoices for the past twelve months. </w:t>
      </w:r>
    </w:p>
    <w:p w14:paraId="55D7D104" w14:textId="77777777"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 xml:space="preserve">Schedule of non-recurring capital costs for the past three years. With appropriate documentation to support costs of any repairs </w:t>
      </w:r>
    </w:p>
    <w:p w14:paraId="537A5DD2" w14:textId="438FD44A"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Current AACI appraisal for 5</w:t>
      </w:r>
      <w:r w:rsidR="002F69FC" w:rsidRPr="00334B35">
        <w:rPr>
          <w:rFonts w:ascii="Arial" w:hAnsi="Arial" w:cs="Arial"/>
        </w:rPr>
        <w:t>&amp;</w:t>
      </w:r>
      <w:proofErr w:type="gramStart"/>
      <w:r w:rsidR="002F69FC" w:rsidRPr="00334B35">
        <w:rPr>
          <w:rFonts w:ascii="Arial" w:hAnsi="Arial" w:cs="Arial"/>
        </w:rPr>
        <w:t>6 unit</w:t>
      </w:r>
      <w:proofErr w:type="gramEnd"/>
      <w:r w:rsidR="002F69FC" w:rsidRPr="00334B35">
        <w:rPr>
          <w:rFonts w:ascii="Arial" w:hAnsi="Arial" w:cs="Arial"/>
        </w:rPr>
        <w:t xml:space="preserve"> properties </w:t>
      </w:r>
    </w:p>
    <w:p w14:paraId="186E1330" w14:textId="77777777"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Current (dated within the past six months) Phase I Environmental Report, with a Letter of Transmittal from the engineer confirming the report has been prepared to Standard CZ768, and that the Lender and CMHC may rely on the report for mortgage lending purposes. * for properties with 7 units or more</w:t>
      </w:r>
    </w:p>
    <w:p w14:paraId="51E2E05E" w14:textId="77777777"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For rent increases above current actual rates, provide details as to how estimated rental increases would be achieved.</w:t>
      </w:r>
    </w:p>
    <w:p w14:paraId="07C65E61" w14:textId="55E3FBE8"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 xml:space="preserve">For properties with commercial / retail space, the total square footage of the building and the total square footage allocated to commercial / retail space, along with copies of commercial / retail leases. </w:t>
      </w:r>
    </w:p>
    <w:p w14:paraId="2643C508" w14:textId="77777777" w:rsidR="000A5206" w:rsidRPr="00334B35" w:rsidRDefault="000A5206" w:rsidP="000A5206">
      <w:pPr>
        <w:spacing w:before="120" w:after="0" w:line="240" w:lineRule="auto"/>
        <w:ind w:left="720"/>
        <w:jc w:val="both"/>
        <w:rPr>
          <w:rFonts w:ascii="Arial" w:hAnsi="Arial" w:cs="Arial"/>
        </w:rPr>
      </w:pPr>
    </w:p>
    <w:p w14:paraId="10D06F37" w14:textId="77777777" w:rsidR="008307A9" w:rsidRDefault="008307A9" w:rsidP="000A5206">
      <w:pPr>
        <w:jc w:val="both"/>
        <w:rPr>
          <w:rFonts w:ascii="Arial" w:hAnsi="Arial" w:cs="Arial"/>
        </w:rPr>
      </w:pPr>
    </w:p>
    <w:p w14:paraId="766473CA" w14:textId="77777777" w:rsidR="008307A9" w:rsidRDefault="008307A9" w:rsidP="000A5206">
      <w:pPr>
        <w:jc w:val="both"/>
        <w:rPr>
          <w:rFonts w:ascii="Arial" w:hAnsi="Arial" w:cs="Arial"/>
        </w:rPr>
      </w:pPr>
    </w:p>
    <w:p w14:paraId="601F55C0" w14:textId="274753BE" w:rsidR="000A5206" w:rsidRPr="008307A9" w:rsidRDefault="000A5206" w:rsidP="000A5206">
      <w:pPr>
        <w:jc w:val="both"/>
        <w:rPr>
          <w:rFonts w:ascii="Arial" w:hAnsi="Arial" w:cs="Arial"/>
          <w:b/>
          <w:bCs/>
        </w:rPr>
      </w:pPr>
      <w:r w:rsidRPr="008307A9">
        <w:rPr>
          <w:rFonts w:ascii="Arial" w:hAnsi="Arial" w:cs="Arial"/>
          <w:b/>
          <w:bCs/>
        </w:rPr>
        <w:t xml:space="preserve">Refinance: </w:t>
      </w:r>
    </w:p>
    <w:p w14:paraId="2D298E87" w14:textId="77777777"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Current mortgage statement (if refinancing) with the name of the borrower and lender</w:t>
      </w:r>
    </w:p>
    <w:p w14:paraId="2E4D9A79" w14:textId="2E1B9F4F"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Up to date property tax bill showing all payments have been made and taxes are current</w:t>
      </w:r>
    </w:p>
    <w:p w14:paraId="74BB6227" w14:textId="4DC7E2CA" w:rsidR="000A5206" w:rsidRPr="00334B35" w:rsidRDefault="000A5206" w:rsidP="000A5206">
      <w:pPr>
        <w:numPr>
          <w:ilvl w:val="0"/>
          <w:numId w:val="1"/>
        </w:numPr>
        <w:spacing w:before="120" w:after="0" w:line="240" w:lineRule="auto"/>
        <w:jc w:val="both"/>
        <w:rPr>
          <w:rFonts w:ascii="Arial" w:hAnsi="Arial" w:cs="Arial"/>
        </w:rPr>
      </w:pPr>
      <w:r w:rsidRPr="00334B35">
        <w:rPr>
          <w:rFonts w:ascii="Arial" w:hAnsi="Arial" w:cs="Arial"/>
        </w:rPr>
        <w:t xml:space="preserve">Explanation of use of the funds in the event of an equity take out </w:t>
      </w:r>
    </w:p>
    <w:p w14:paraId="0EECD106" w14:textId="77777777" w:rsidR="000A5206" w:rsidRPr="00334B35" w:rsidRDefault="000A5206" w:rsidP="000A5206">
      <w:pPr>
        <w:spacing w:before="120" w:after="0" w:line="240" w:lineRule="auto"/>
        <w:ind w:left="720"/>
        <w:jc w:val="both"/>
        <w:rPr>
          <w:rFonts w:ascii="Arial" w:hAnsi="Arial" w:cs="Arial"/>
        </w:rPr>
      </w:pPr>
    </w:p>
    <w:p w14:paraId="722BEE18" w14:textId="77777777" w:rsidR="000A5206" w:rsidRPr="008307A9" w:rsidRDefault="000A5206" w:rsidP="000A5206">
      <w:pPr>
        <w:spacing w:after="120"/>
        <w:jc w:val="both"/>
        <w:rPr>
          <w:rFonts w:ascii="Arial" w:hAnsi="Arial" w:cs="Arial"/>
          <w:b/>
          <w:bCs/>
        </w:rPr>
      </w:pPr>
      <w:r w:rsidRPr="008307A9">
        <w:rPr>
          <w:rFonts w:ascii="Arial" w:hAnsi="Arial" w:cs="Arial"/>
          <w:b/>
          <w:bCs/>
        </w:rPr>
        <w:t>Purchase:</w:t>
      </w:r>
    </w:p>
    <w:p w14:paraId="1A59FC44" w14:textId="77777777" w:rsidR="000A5206" w:rsidRPr="00334B35" w:rsidRDefault="000A5206" w:rsidP="000A5206">
      <w:pPr>
        <w:numPr>
          <w:ilvl w:val="0"/>
          <w:numId w:val="1"/>
        </w:numPr>
        <w:spacing w:before="120" w:after="120" w:line="240" w:lineRule="auto"/>
        <w:jc w:val="both"/>
        <w:rPr>
          <w:rFonts w:ascii="Arial" w:hAnsi="Arial" w:cs="Arial"/>
        </w:rPr>
      </w:pPr>
      <w:r w:rsidRPr="00334B35">
        <w:rPr>
          <w:rFonts w:ascii="Arial" w:hAnsi="Arial" w:cs="Arial"/>
        </w:rPr>
        <w:t>The amount and source of down payment.</w:t>
      </w:r>
    </w:p>
    <w:p w14:paraId="092F85C3" w14:textId="77777777" w:rsidR="000A5206" w:rsidRPr="00334B35" w:rsidRDefault="000A5206" w:rsidP="000A5206">
      <w:pPr>
        <w:pStyle w:val="ListParagraph"/>
        <w:numPr>
          <w:ilvl w:val="0"/>
          <w:numId w:val="1"/>
        </w:numPr>
        <w:spacing w:before="120" w:after="120" w:line="240" w:lineRule="auto"/>
        <w:jc w:val="both"/>
        <w:rPr>
          <w:rFonts w:ascii="Arial" w:hAnsi="Arial" w:cs="Arial"/>
        </w:rPr>
      </w:pPr>
      <w:r w:rsidRPr="00334B35">
        <w:rPr>
          <w:rFonts w:ascii="Arial" w:hAnsi="Arial" w:cs="Arial"/>
        </w:rPr>
        <w:t>Copy of executed Purchase &amp; Sale Agreement</w:t>
      </w:r>
      <w:r w:rsidRPr="00334B35">
        <w:rPr>
          <w:rFonts w:ascii="Arial" w:hAnsi="Arial" w:cs="Arial"/>
          <w:sz w:val="23"/>
          <w:szCs w:val="23"/>
        </w:rPr>
        <w:t>.</w:t>
      </w:r>
    </w:p>
    <w:p w14:paraId="7F2B4122" w14:textId="77777777" w:rsidR="000A5206" w:rsidRPr="00334B35" w:rsidRDefault="000A5206" w:rsidP="000A5206">
      <w:pPr>
        <w:spacing w:line="240" w:lineRule="auto"/>
        <w:jc w:val="both"/>
        <w:rPr>
          <w:rFonts w:ascii="Arial" w:hAnsi="Arial" w:cs="Arial"/>
          <w:sz w:val="18"/>
          <w:szCs w:val="18"/>
        </w:rPr>
      </w:pPr>
    </w:p>
    <w:p w14:paraId="649F81D1" w14:textId="5D3524B3" w:rsidR="006E0E70" w:rsidRDefault="000A5206">
      <w:pPr>
        <w:rPr>
          <w:rFonts w:ascii="Arial" w:hAnsi="Arial" w:cs="Arial"/>
          <w:b/>
          <w:bCs/>
        </w:rPr>
      </w:pPr>
      <w:r w:rsidRPr="008307A9">
        <w:rPr>
          <w:rFonts w:ascii="Arial" w:hAnsi="Arial" w:cs="Arial"/>
          <w:b/>
          <w:bCs/>
        </w:rPr>
        <w:t xml:space="preserve">For Appraisal and Environmental Transmittal Reports they must me made out to CMLS Financial, CMHC and Computershare Trust Company </w:t>
      </w:r>
    </w:p>
    <w:p w14:paraId="5ACDD505" w14:textId="77777777" w:rsidR="006F6D4E" w:rsidRPr="008307A9" w:rsidRDefault="006F6D4E">
      <w:pPr>
        <w:rPr>
          <w:rFonts w:ascii="Arial" w:hAnsi="Arial" w:cs="Arial"/>
          <w:b/>
          <w:bCs/>
        </w:rPr>
      </w:pPr>
    </w:p>
    <w:p w14:paraId="1018DEF1" w14:textId="4FD4ACCD" w:rsidR="006E0E70" w:rsidRPr="006F6D4E" w:rsidRDefault="006E0E70">
      <w:pPr>
        <w:rPr>
          <w:rFonts w:ascii="Arial" w:hAnsi="Arial" w:cs="Arial"/>
          <w:b/>
          <w:bCs/>
          <w:color w:val="1B467C"/>
        </w:rPr>
      </w:pPr>
      <w:r w:rsidRPr="006F6D4E">
        <w:rPr>
          <w:rFonts w:ascii="Arial" w:hAnsi="Arial" w:cs="Arial"/>
          <w:b/>
          <w:bCs/>
          <w:color w:val="1B467C"/>
        </w:rPr>
        <w:t>Step 3: Final approval &amp; Funding:</w:t>
      </w:r>
    </w:p>
    <w:p w14:paraId="3E3994F6" w14:textId="7B39D259" w:rsidR="006E0E70" w:rsidRPr="00334B35" w:rsidRDefault="006E0E70">
      <w:pPr>
        <w:rPr>
          <w:rFonts w:ascii="Arial" w:hAnsi="Arial" w:cs="Arial"/>
        </w:rPr>
      </w:pPr>
      <w:r w:rsidRPr="00334B35">
        <w:rPr>
          <w:rFonts w:ascii="Arial" w:hAnsi="Arial" w:cs="Arial"/>
        </w:rPr>
        <w:t>Sign off on Commitment Letter, lock in interest rate, instruct to lawyers, and fund</w:t>
      </w:r>
    </w:p>
    <w:sectPr w:rsidR="006E0E70" w:rsidRPr="00334B35" w:rsidSect="00E240A6">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CA56" w14:textId="77777777" w:rsidR="00D303BD" w:rsidRDefault="00D303BD">
      <w:pPr>
        <w:spacing w:after="0" w:line="240" w:lineRule="auto"/>
      </w:pPr>
      <w:r>
        <w:separator/>
      </w:r>
    </w:p>
  </w:endnote>
  <w:endnote w:type="continuationSeparator" w:id="0">
    <w:p w14:paraId="53DD06A5" w14:textId="77777777" w:rsidR="00D303BD" w:rsidRDefault="00D3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6009F" w14:textId="77777777" w:rsidR="00D303BD" w:rsidRDefault="00D303BD">
      <w:pPr>
        <w:spacing w:after="0" w:line="240" w:lineRule="auto"/>
      </w:pPr>
      <w:r>
        <w:separator/>
      </w:r>
    </w:p>
  </w:footnote>
  <w:footnote w:type="continuationSeparator" w:id="0">
    <w:p w14:paraId="2BC001FB" w14:textId="77777777" w:rsidR="00D303BD" w:rsidRDefault="00D3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1D99" w14:textId="6B536A4F" w:rsidR="008307A9" w:rsidRPr="00334B35" w:rsidRDefault="006F6D4E" w:rsidP="008307A9">
    <w:pPr>
      <w:outlineLvl w:val="0"/>
      <w:rPr>
        <w:rFonts w:ascii="Arial" w:hAnsi="Arial" w:cs="Arial"/>
        <w:b/>
        <w:bCs/>
      </w:rPr>
    </w:pPr>
    <w:r>
      <w:rPr>
        <w:noProof/>
      </w:rPr>
      <mc:AlternateContent>
        <mc:Choice Requires="wps">
          <w:drawing>
            <wp:anchor distT="0" distB="0" distL="114300" distR="114300" simplePos="0" relativeHeight="251659264" behindDoc="1" locked="0" layoutInCell="1" allowOverlap="1" wp14:anchorId="7F885691" wp14:editId="5301AD94">
              <wp:simplePos x="0" y="0"/>
              <wp:positionH relativeFrom="page">
                <wp:posOffset>2875280</wp:posOffset>
              </wp:positionH>
              <wp:positionV relativeFrom="page">
                <wp:posOffset>924560</wp:posOffset>
              </wp:positionV>
              <wp:extent cx="4457065" cy="538480"/>
              <wp:effectExtent l="0" t="0" r="6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5C1C" w14:textId="4B650E33" w:rsidR="006F6D4E" w:rsidRPr="007905FD" w:rsidRDefault="006F6D4E" w:rsidP="006F6D4E">
                          <w:pPr>
                            <w:spacing w:before="35"/>
                            <w:ind w:left="1440"/>
                            <w:jc w:val="right"/>
                            <w:rPr>
                              <w:rFonts w:ascii="Arial" w:hAnsi="Arial" w:cs="Arial"/>
                              <w:b/>
                              <w:bCs/>
                              <w:color w:val="00467F"/>
                              <w:sz w:val="28"/>
                              <w:szCs w:val="28"/>
                            </w:rPr>
                          </w:pPr>
                          <w:r w:rsidRPr="007905FD">
                            <w:rPr>
                              <w:rFonts w:ascii="Arial" w:hAnsi="Arial" w:cs="Arial"/>
                              <w:b/>
                              <w:bCs/>
                              <w:color w:val="00467F"/>
                              <w:sz w:val="28"/>
                              <w:szCs w:val="28"/>
                            </w:rPr>
                            <w:t>CMHC Documentation Requirements</w:t>
                          </w:r>
                        </w:p>
                        <w:p w14:paraId="32DD588B" w14:textId="17F24BD8" w:rsidR="006F6D4E" w:rsidRPr="0088727F" w:rsidRDefault="006F6D4E" w:rsidP="006F6D4E">
                          <w:pPr>
                            <w:spacing w:before="35"/>
                            <w:ind w:left="1440"/>
                            <w:jc w:val="right"/>
                            <w:rPr>
                              <w:bCs/>
                              <w:color w:val="00467F"/>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85691" id="_x0000_t202" coordsize="21600,21600" o:spt="202" path="m,l,21600r21600,l21600,xe">
              <v:stroke joinstyle="miter"/>
              <v:path gradientshapeok="t" o:connecttype="rect"/>
            </v:shapetype>
            <v:shape id="Text Box 2" o:spid="_x0000_s1026" type="#_x0000_t202" style="position:absolute;margin-left:226.4pt;margin-top:72.8pt;width:350.95pt;height:4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" filled="f" stroked="f">
              <v:textbox inset="0,0,0,0">
                <w:txbxContent>
                  <w:p w14:paraId="2BDF5C1C" w14:textId="4B650E33" w:rsidR="006F6D4E" w:rsidRPr="007905FD" w:rsidRDefault="006F6D4E" w:rsidP="006F6D4E">
                    <w:pPr>
                      <w:spacing w:before="35"/>
                      <w:ind w:left="1440"/>
                      <w:jc w:val="right"/>
                      <w:rPr>
                        <w:rFonts w:ascii="Arial" w:hAnsi="Arial" w:cs="Arial"/>
                        <w:b/>
                        <w:bCs/>
                        <w:color w:val="00467F"/>
                        <w:sz w:val="28"/>
                        <w:szCs w:val="28"/>
                      </w:rPr>
                    </w:pPr>
                    <w:r w:rsidRPr="007905FD">
                      <w:rPr>
                        <w:rFonts w:ascii="Arial" w:hAnsi="Arial" w:cs="Arial"/>
                        <w:b/>
                        <w:bCs/>
                        <w:color w:val="00467F"/>
                        <w:sz w:val="28"/>
                        <w:szCs w:val="28"/>
                      </w:rPr>
                      <w:t>CMHC Documentation Requirements</w:t>
                    </w:r>
                  </w:p>
                  <w:p w14:paraId="32DD588B" w14:textId="17F24BD8" w:rsidR="006F6D4E" w:rsidRPr="0088727F" w:rsidRDefault="006F6D4E" w:rsidP="006F6D4E">
                    <w:pPr>
                      <w:spacing w:before="35"/>
                      <w:ind w:left="1440"/>
                      <w:jc w:val="right"/>
                      <w:rPr>
                        <w:bCs/>
                        <w:color w:val="00467F"/>
                        <w:sz w:val="20"/>
                        <w:szCs w:val="20"/>
                      </w:rPr>
                    </w:pPr>
                  </w:p>
                </w:txbxContent>
              </v:textbox>
              <w10:wrap anchorx="page" anchory="page"/>
            </v:shape>
          </w:pict>
        </mc:Fallback>
      </mc:AlternateContent>
    </w:r>
    <w:r w:rsidR="002F69FC">
      <w:rPr>
        <w:noProof/>
      </w:rPr>
      <w:drawing>
        <wp:inline distT="0" distB="0" distL="0" distR="0" wp14:anchorId="17E69066" wp14:editId="4EA5366F">
          <wp:extent cx="2670175" cy="782955"/>
          <wp:effectExtent l="0" t="0" r="0" b="0"/>
          <wp:docPr id="5" name="Picture 5" descr="CMLS New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LS New 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782955"/>
                  </a:xfrm>
                  <a:prstGeom prst="rect">
                    <a:avLst/>
                  </a:prstGeom>
                  <a:noFill/>
                  <a:ln>
                    <a:noFill/>
                  </a:ln>
                </pic:spPr>
              </pic:pic>
            </a:graphicData>
          </a:graphic>
        </wp:inline>
      </w:drawing>
    </w:r>
    <w:r w:rsidR="008307A9" w:rsidRPr="008307A9">
      <w:rPr>
        <w:rFonts w:ascii="Arial" w:hAnsi="Arial" w:cs="Arial"/>
        <w:b/>
        <w:bCs/>
      </w:rPr>
      <w:t xml:space="preserve"> </w:t>
    </w:r>
    <w:r w:rsidR="008307A9">
      <w:rPr>
        <w:rFonts w:ascii="Arial" w:hAnsi="Arial" w:cs="Arial"/>
        <w:b/>
        <w:bCs/>
      </w:rPr>
      <w:tab/>
    </w:r>
  </w:p>
  <w:p w14:paraId="1FDCE0D9" w14:textId="77AAB7A0" w:rsidR="006F6D4E" w:rsidRDefault="006F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B4F77"/>
    <w:multiLevelType w:val="hybridMultilevel"/>
    <w:tmpl w:val="1FEAA70A"/>
    <w:lvl w:ilvl="0" w:tplc="0284F978">
      <w:start w:val="116"/>
      <w:numFmt w:val="bullet"/>
      <w:lvlText w:val=""/>
      <w:lvlJc w:val="left"/>
      <w:pPr>
        <w:tabs>
          <w:tab w:val="num" w:pos="720"/>
        </w:tabs>
        <w:ind w:left="720" w:hanging="360"/>
      </w:pPr>
      <w:rPr>
        <w:rFonts w:ascii="Wingdings" w:eastAsia="Times New Roman" w:hAnsi="Wingding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06"/>
    <w:rsid w:val="000A5206"/>
    <w:rsid w:val="001A0616"/>
    <w:rsid w:val="002A4290"/>
    <w:rsid w:val="002F69FC"/>
    <w:rsid w:val="00333798"/>
    <w:rsid w:val="00334B35"/>
    <w:rsid w:val="006E0E70"/>
    <w:rsid w:val="006F6D4E"/>
    <w:rsid w:val="007905FD"/>
    <w:rsid w:val="008307A9"/>
    <w:rsid w:val="00D226C2"/>
    <w:rsid w:val="00D3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3AFF4"/>
  <w15:chartTrackingRefBased/>
  <w15:docId w15:val="{E45BA43C-B67B-4F5B-B725-1BCBA1CD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0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206"/>
    <w:pPr>
      <w:ind w:left="720"/>
      <w:contextualSpacing/>
    </w:pPr>
  </w:style>
  <w:style w:type="paragraph" w:styleId="Header">
    <w:name w:val="header"/>
    <w:basedOn w:val="Normal"/>
    <w:link w:val="HeaderChar"/>
    <w:unhideWhenUsed/>
    <w:rsid w:val="000A5206"/>
    <w:pPr>
      <w:tabs>
        <w:tab w:val="center" w:pos="4680"/>
        <w:tab w:val="right" w:pos="9360"/>
      </w:tabs>
      <w:spacing w:after="0" w:line="240" w:lineRule="auto"/>
    </w:pPr>
  </w:style>
  <w:style w:type="character" w:customStyle="1" w:styleId="HeaderChar">
    <w:name w:val="Header Char"/>
    <w:basedOn w:val="DefaultParagraphFont"/>
    <w:link w:val="Header"/>
    <w:rsid w:val="000A5206"/>
    <w:rPr>
      <w:lang w:val="en-CA"/>
    </w:rPr>
  </w:style>
  <w:style w:type="paragraph" w:styleId="Footer">
    <w:name w:val="footer"/>
    <w:basedOn w:val="Normal"/>
    <w:link w:val="FooterChar"/>
    <w:uiPriority w:val="99"/>
    <w:unhideWhenUsed/>
    <w:rsid w:val="0083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A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Ingram</dc:creator>
  <cp:keywords/>
  <dc:description/>
  <cp:lastModifiedBy>Ivan Abad</cp:lastModifiedBy>
  <cp:revision>5</cp:revision>
  <dcterms:created xsi:type="dcterms:W3CDTF">2020-07-06T17:49:00Z</dcterms:created>
  <dcterms:modified xsi:type="dcterms:W3CDTF">2020-07-06T18:52:00Z</dcterms:modified>
</cp:coreProperties>
</file>